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EF5829" w:rsidP="00BF5E05">
      <w:r>
        <w:t>Број: 404-4/2020</w:t>
      </w:r>
      <w:r w:rsidR="00BF5E05">
        <w:t>-04</w:t>
      </w:r>
    </w:p>
    <w:p w:rsidR="00BF5E05" w:rsidRDefault="00EF5829" w:rsidP="00BF5E05">
      <w:r>
        <w:t>31.01</w:t>
      </w:r>
      <w:r w:rsidR="00FF00D5">
        <w:t>.</w:t>
      </w:r>
      <w:r>
        <w:t>2020</w:t>
      </w:r>
      <w:r w:rsidR="00BF5E05">
        <w:t xml:space="preserve">. </w:t>
      </w:r>
      <w:proofErr w:type="gramStart"/>
      <w:r w:rsidR="00BF5E05">
        <w:t>године</w:t>
      </w:r>
      <w:proofErr w:type="gramEnd"/>
    </w:p>
    <w:p w:rsidR="00BF5E05" w:rsidRDefault="00BF5E05" w:rsidP="00BF5E05">
      <w:r>
        <w:t>Војводе Мишића 45</w:t>
      </w:r>
    </w:p>
    <w:p w:rsidR="00BF5E05" w:rsidRDefault="00BF5E05" w:rsidP="00BF5E05">
      <w:r>
        <w:t>Љ у б о в и ј а</w:t>
      </w:r>
    </w:p>
    <w:p w:rsidR="00BF5E05" w:rsidRDefault="00BF5E05" w:rsidP="00BF5E05"/>
    <w:p w:rsidR="0017266A" w:rsidRDefault="0017266A" w:rsidP="00431177">
      <w:pPr>
        <w:spacing w:after="120"/>
      </w:pPr>
    </w:p>
    <w:p w:rsidR="00BF5E05" w:rsidRDefault="00BF5E05" w:rsidP="00BF5E05"/>
    <w:p w:rsidR="00BF5E05" w:rsidRDefault="00BF5E05" w:rsidP="0017266A">
      <w:pPr>
        <w:spacing w:after="120"/>
        <w:jc w:val="both"/>
      </w:pPr>
      <w:r>
        <w:tab/>
      </w:r>
      <w:proofErr w:type="gramStart"/>
      <w:r>
        <w:t>На основу члана 63.</w:t>
      </w:r>
      <w:proofErr w:type="gramEnd"/>
      <w:r>
        <w:t xml:space="preserve"> </w:t>
      </w:r>
      <w:proofErr w:type="gramStart"/>
      <w:r w:rsidR="009925AA">
        <w:t>с</w:t>
      </w:r>
      <w:r>
        <w:t>тав</w:t>
      </w:r>
      <w:proofErr w:type="gramEnd"/>
      <w:r>
        <w:t xml:space="preserve"> </w:t>
      </w:r>
      <w:r w:rsidR="00E840AD">
        <w:t>1 Закона о јавним набавкама („Службени гласник Републике Србије“, бро</w:t>
      </w:r>
      <w:r w:rsidR="0049792A">
        <w:t>ј: 124/2012, 14/2015 и 68/2015)</w:t>
      </w:r>
      <w:r w:rsidR="00E47BAD">
        <w:t xml:space="preserve">, Комисија за за јавну набавку </w:t>
      </w:r>
      <w:r w:rsidR="00A2506E">
        <w:t xml:space="preserve">радова на </w:t>
      </w:r>
      <w:r w:rsidR="00EF5829">
        <w:t>крпљењу ударних рупа на путевима</w:t>
      </w:r>
      <w:r w:rsidR="00140D19">
        <w:t xml:space="preserve">, редни број ЈН </w:t>
      </w:r>
      <w:r w:rsidR="00EF5829">
        <w:t>3/2020</w:t>
      </w:r>
      <w:r w:rsidR="00E47BAD">
        <w:t>, објављује</w:t>
      </w:r>
    </w:p>
    <w:p w:rsidR="005A1549" w:rsidRDefault="005A1549" w:rsidP="00BF5E05"/>
    <w:p w:rsidR="005A1549" w:rsidRPr="00B6496D" w:rsidRDefault="006F2099" w:rsidP="005A1549">
      <w:pPr>
        <w:jc w:val="center"/>
        <w:rPr>
          <w:b/>
        </w:rPr>
      </w:pPr>
      <w:r>
        <w:rPr>
          <w:b/>
        </w:rPr>
        <w:t>ИЗМ</w:t>
      </w:r>
      <w:r w:rsidR="00EF5829">
        <w:rPr>
          <w:b/>
        </w:rPr>
        <w:t>ЕНЕ</w:t>
      </w:r>
      <w:r w:rsidR="005A1549" w:rsidRPr="005A1549">
        <w:rPr>
          <w:b/>
        </w:rPr>
        <w:t xml:space="preserve"> КОНКУРСНЕ ДОКУМЕНТАЦИЈЕ</w:t>
      </w:r>
      <w:r w:rsidR="00B6496D">
        <w:rPr>
          <w:b/>
        </w:rPr>
        <w:t xml:space="preserve"> БР: 1</w:t>
      </w:r>
    </w:p>
    <w:p w:rsidR="005A1549" w:rsidRDefault="00EF5829" w:rsidP="005A1549">
      <w:pPr>
        <w:jc w:val="center"/>
      </w:pPr>
      <w:r>
        <w:t>Број: 404-4/2020</w:t>
      </w:r>
      <w:r w:rsidR="00FF00D5">
        <w:t xml:space="preserve">-04 од </w:t>
      </w:r>
      <w:r>
        <w:t>27.01</w:t>
      </w:r>
      <w:r w:rsidR="00FF00D5">
        <w:t>.</w:t>
      </w:r>
      <w:r>
        <w:t>2020</w:t>
      </w:r>
      <w:r w:rsidR="005A1549">
        <w:t xml:space="preserve">. </w:t>
      </w:r>
      <w:proofErr w:type="gramStart"/>
      <w:r w:rsidR="00246E47">
        <w:t>г</w:t>
      </w:r>
      <w:r w:rsidR="005A1549">
        <w:t>одине</w:t>
      </w:r>
      <w:proofErr w:type="gramEnd"/>
      <w:r w:rsidR="00C06BF0">
        <w:t xml:space="preserve"> </w:t>
      </w:r>
    </w:p>
    <w:p w:rsidR="00C06BF0" w:rsidRDefault="00C06BF0" w:rsidP="005A1549">
      <w:pPr>
        <w:jc w:val="center"/>
      </w:pPr>
    </w:p>
    <w:p w:rsidR="00C06BF0" w:rsidRDefault="00C06BF0" w:rsidP="00C06BF0">
      <w:pPr>
        <w:jc w:val="both"/>
      </w:pPr>
      <w:r>
        <w:tab/>
        <w:t xml:space="preserve">У року предвиђеном за подношење понуда, Комисија за </w:t>
      </w:r>
      <w:r w:rsidR="00790155">
        <w:t>јавну набавку извршила је измене</w:t>
      </w:r>
      <w:r>
        <w:t xml:space="preserve"> </w:t>
      </w:r>
      <w:r w:rsidR="008C7874">
        <w:t xml:space="preserve">Конкурсне документације </w:t>
      </w:r>
      <w:r>
        <w:t xml:space="preserve">за јавну набавку </w:t>
      </w:r>
      <w:r w:rsidR="00A2506E">
        <w:t xml:space="preserve">радова на </w:t>
      </w:r>
      <w:r w:rsidR="00EF5829">
        <w:t xml:space="preserve">крпљењу ударних рупа на путевима, редни број ЈН </w:t>
      </w:r>
      <w:r w:rsidR="00F637D5">
        <w:t>3</w:t>
      </w:r>
      <w:r w:rsidR="00EF5829">
        <w:t>/2020</w:t>
      </w:r>
      <w:r>
        <w:t xml:space="preserve"> на следећи начин</w:t>
      </w:r>
      <w:r w:rsidR="000143AA">
        <w:t xml:space="preserve">: </w:t>
      </w:r>
    </w:p>
    <w:p w:rsidR="00CF36FF" w:rsidRDefault="00CF36FF" w:rsidP="00C06BF0">
      <w:pPr>
        <w:jc w:val="both"/>
      </w:pPr>
    </w:p>
    <w:p w:rsidR="00E659C7" w:rsidRDefault="00E659C7" w:rsidP="007E47AD">
      <w:pPr>
        <w:pStyle w:val="ListParagraph"/>
        <w:shd w:val="clear" w:color="auto" w:fill="FFFFFF"/>
        <w:spacing w:after="240"/>
        <w:ind w:left="0" w:firstLine="567"/>
        <w:rPr>
          <w:rFonts w:eastAsia="Times New Roman"/>
          <w:color w:val="000000"/>
          <w:lang w:val="sr-Cyrl-CS"/>
        </w:rPr>
      </w:pPr>
      <w:r>
        <w:rPr>
          <w:rFonts w:eastAsia="Times New Roman"/>
          <w:color w:val="000000"/>
          <w:lang w:val="sr-Cyrl-CS"/>
        </w:rPr>
        <w:t>1.  У</w:t>
      </w:r>
      <w:r w:rsidR="00774E08" w:rsidRPr="00B1207C">
        <w:rPr>
          <w:rFonts w:eastAsia="Times New Roman"/>
          <w:color w:val="000000"/>
          <w:lang w:val="sr-Cyrl-CS"/>
        </w:rPr>
        <w:t xml:space="preserve"> </w:t>
      </w:r>
      <w:r w:rsidR="001F5F55" w:rsidRPr="00B1207C">
        <w:rPr>
          <w:rFonts w:eastAsia="Times New Roman"/>
          <w:color w:val="000000"/>
          <w:lang w:val="sr-Cyrl-CS"/>
        </w:rPr>
        <w:t>оквиру</w:t>
      </w:r>
      <w:r w:rsidR="00253E06" w:rsidRPr="00B1207C">
        <w:rPr>
          <w:rFonts w:eastAsia="Times New Roman"/>
          <w:color w:val="000000"/>
          <w:lang w:val="sr-Cyrl-CS"/>
        </w:rPr>
        <w:t xml:space="preserve"> </w:t>
      </w:r>
      <w:r w:rsidR="007E47AD">
        <w:rPr>
          <w:rFonts w:eastAsia="Times New Roman"/>
          <w:color w:val="000000"/>
          <w:lang w:val="sr-Cyrl-CS"/>
        </w:rPr>
        <w:t xml:space="preserve">поглавља IV </w:t>
      </w:r>
      <w:r w:rsidR="007E47AD">
        <w:rPr>
          <w:rFonts w:eastAsia="Times New Roman"/>
          <w:color w:val="000000"/>
        </w:rPr>
        <w:t xml:space="preserve">услови за учешће у поступку јавне набавке  из чла 75. И 76. Закона о јавним набавкама и упутство како се доказује испуњеност тих услова, </w:t>
      </w:r>
      <w:r w:rsidR="00253E06" w:rsidRPr="00B1207C">
        <w:rPr>
          <w:rFonts w:eastAsia="Times New Roman"/>
          <w:color w:val="000000"/>
          <w:lang w:val="sr-Cyrl-CS"/>
        </w:rPr>
        <w:t>Д</w:t>
      </w:r>
      <w:r w:rsidR="007E47AD">
        <w:rPr>
          <w:rFonts w:eastAsia="Times New Roman"/>
          <w:color w:val="000000"/>
          <w:lang w:val="sr-Cyrl-CS"/>
        </w:rPr>
        <w:t>одатни услови</w:t>
      </w:r>
      <w:r>
        <w:rPr>
          <w:rFonts w:eastAsia="Times New Roman"/>
          <w:color w:val="000000"/>
          <w:lang w:val="sr-Cyrl-CS"/>
        </w:rPr>
        <w:t xml:space="preserve">, </w:t>
      </w:r>
      <w:r w:rsidRPr="00B1207C">
        <w:rPr>
          <w:rFonts w:eastAsia="Times New Roman"/>
          <w:color w:val="000000"/>
          <w:lang w:val="sr-Cyrl-CS"/>
        </w:rPr>
        <w:t>под бројем 2) Технички капацитет</w:t>
      </w:r>
      <w:r>
        <w:rPr>
          <w:rFonts w:eastAsia="Times New Roman"/>
          <w:color w:val="000000"/>
          <w:lang w:val="sr-Cyrl-CS"/>
        </w:rPr>
        <w:t xml:space="preserve">, </w:t>
      </w:r>
      <w:r w:rsidRPr="00B1207C">
        <w:rPr>
          <w:rFonts w:eastAsia="Times New Roman"/>
          <w:color w:val="000000"/>
          <w:lang w:val="sr-Cyrl-CS"/>
        </w:rPr>
        <w:t>минимално захтевана опрема</w:t>
      </w:r>
      <w:r w:rsidR="009C5D76">
        <w:rPr>
          <w:rFonts w:eastAsia="Times New Roman"/>
          <w:color w:val="000000"/>
          <w:lang w:val="sr-Cyrl-CS"/>
        </w:rPr>
        <w:t xml:space="preserve"> којом понуђач мора да располаже</w:t>
      </w:r>
      <w:r w:rsidR="00B6496D">
        <w:rPr>
          <w:rFonts w:eastAsia="Times New Roman"/>
          <w:color w:val="000000"/>
          <w:lang w:val="sr-Cyrl-CS"/>
        </w:rPr>
        <w:t>:</w:t>
      </w:r>
    </w:p>
    <w:p w:rsidR="007E47AD" w:rsidRDefault="007E47AD" w:rsidP="007E47AD">
      <w:pPr>
        <w:pStyle w:val="ListParagraph"/>
        <w:shd w:val="clear" w:color="auto" w:fill="FFFFFF"/>
        <w:spacing w:after="240"/>
        <w:ind w:left="0" w:firstLine="567"/>
        <w:rPr>
          <w:rFonts w:eastAsia="Times New Roman"/>
          <w:color w:val="000000"/>
          <w:lang w:val="sr-Cyrl-CS"/>
        </w:rPr>
      </w:pPr>
    </w:p>
    <w:p w:rsidR="00B330D0" w:rsidRDefault="00E659C7" w:rsidP="00B330D0">
      <w:pPr>
        <w:pStyle w:val="ListParagraph"/>
        <w:numPr>
          <w:ilvl w:val="0"/>
          <w:numId w:val="22"/>
        </w:numPr>
        <w:shd w:val="clear" w:color="auto" w:fill="FFFFFF"/>
        <w:tabs>
          <w:tab w:val="left" w:pos="1134"/>
          <w:tab w:val="left" w:pos="1276"/>
        </w:tabs>
        <w:ind w:left="1134" w:hanging="283"/>
        <w:rPr>
          <w:rFonts w:eastAsia="Times New Roman"/>
          <w:color w:val="000000"/>
          <w:lang w:val="sr-Cyrl-CS"/>
        </w:rPr>
      </w:pPr>
      <w:r>
        <w:rPr>
          <w:rFonts w:eastAsia="Times New Roman"/>
          <w:color w:val="000000"/>
          <w:lang w:val="sr-Cyrl-CS"/>
        </w:rPr>
        <w:t>На страни 6/38, у реду</w:t>
      </w:r>
      <w:r w:rsidR="00774E08" w:rsidRPr="00B1207C">
        <w:rPr>
          <w:rFonts w:eastAsia="Times New Roman"/>
          <w:color w:val="000000"/>
          <w:lang w:val="sr-Cyrl-CS"/>
        </w:rPr>
        <w:t xml:space="preserve"> </w:t>
      </w:r>
      <w:r w:rsidR="00B1207C" w:rsidRPr="00B1207C">
        <w:rPr>
          <w:rFonts w:eastAsia="Times New Roman"/>
          <w:color w:val="000000"/>
          <w:lang w:val="sr-Cyrl-CS"/>
        </w:rPr>
        <w:t>– камион кипер</w:t>
      </w:r>
      <w:r>
        <w:rPr>
          <w:rFonts w:eastAsia="Times New Roman"/>
          <w:color w:val="000000"/>
          <w:lang w:val="sr-Cyrl-CS"/>
        </w:rPr>
        <w:t xml:space="preserve">, после </w:t>
      </w:r>
      <w:r w:rsidR="00822CA4">
        <w:rPr>
          <w:rFonts w:eastAsia="Times New Roman"/>
          <w:color w:val="000000"/>
          <w:lang w:val="sr-Cyrl-CS"/>
        </w:rPr>
        <w:t>речи</w:t>
      </w:r>
      <w:r>
        <w:rPr>
          <w:rFonts w:eastAsia="Times New Roman"/>
          <w:color w:val="000000"/>
          <w:lang w:val="sr-Cyrl-CS"/>
        </w:rPr>
        <w:t xml:space="preserve"> „</w:t>
      </w:r>
      <w:r w:rsidR="00B1207C" w:rsidRPr="00B1207C">
        <w:rPr>
          <w:rFonts w:eastAsia="Times New Roman"/>
          <w:color w:val="000000"/>
          <w:lang w:val="sr-Cyrl-CS"/>
        </w:rPr>
        <w:t xml:space="preserve"> носивости</w:t>
      </w:r>
      <w:r>
        <w:rPr>
          <w:rFonts w:eastAsia="Times New Roman"/>
          <w:color w:val="000000"/>
          <w:lang w:val="sr-Cyrl-CS"/>
        </w:rPr>
        <w:t>“</w:t>
      </w:r>
      <w:r w:rsidR="00B1207C" w:rsidRPr="00B1207C">
        <w:rPr>
          <w:rFonts w:eastAsia="Times New Roman"/>
          <w:color w:val="000000"/>
          <w:lang w:val="sr-Cyrl-CS"/>
        </w:rPr>
        <w:t xml:space="preserve"> додаје се </w:t>
      </w:r>
      <w:r w:rsidR="00822CA4">
        <w:rPr>
          <w:rFonts w:eastAsia="Times New Roman"/>
          <w:color w:val="000000"/>
          <w:lang w:val="sr-Cyrl-CS"/>
        </w:rPr>
        <w:t>реч</w:t>
      </w:r>
      <w:r>
        <w:rPr>
          <w:rFonts w:eastAsia="Times New Roman"/>
          <w:color w:val="000000"/>
          <w:lang w:val="sr-Cyrl-CS"/>
        </w:rPr>
        <w:t xml:space="preserve"> </w:t>
      </w:r>
      <w:r w:rsidR="00B1207C" w:rsidRPr="00B1207C">
        <w:rPr>
          <w:rFonts w:eastAsia="Times New Roman"/>
          <w:color w:val="000000"/>
          <w:lang w:val="sr-Cyrl-CS"/>
        </w:rPr>
        <w:t>„</w:t>
      </w:r>
      <w:r w:rsidR="00B1207C" w:rsidRPr="00B330D0">
        <w:rPr>
          <w:rFonts w:eastAsia="Times New Roman"/>
          <w:b/>
          <w:color w:val="000000"/>
          <w:lang w:val="sr-Cyrl-CS"/>
        </w:rPr>
        <w:t>минимум</w:t>
      </w:r>
      <w:r w:rsidR="00B1207C" w:rsidRPr="00B1207C">
        <w:rPr>
          <w:rFonts w:eastAsia="Times New Roman"/>
          <w:color w:val="000000"/>
          <w:lang w:val="sr-Cyrl-CS"/>
        </w:rPr>
        <w:t>“</w:t>
      </w:r>
    </w:p>
    <w:p w:rsidR="002C4D07" w:rsidRDefault="00B1207C" w:rsidP="00B330D0">
      <w:pPr>
        <w:pStyle w:val="ListParagraph"/>
        <w:shd w:val="clear" w:color="auto" w:fill="FFFFFF"/>
        <w:tabs>
          <w:tab w:val="left" w:pos="1134"/>
          <w:tab w:val="left" w:pos="1276"/>
        </w:tabs>
        <w:spacing w:after="120"/>
        <w:ind w:left="1134"/>
        <w:rPr>
          <w:rFonts w:eastAsia="Times New Roman"/>
          <w:color w:val="000000"/>
          <w:lang w:val="sr-Cyrl-CS"/>
        </w:rPr>
      </w:pPr>
      <w:r w:rsidRPr="00B1207C">
        <w:rPr>
          <w:rFonts w:eastAsia="Times New Roman"/>
          <w:color w:val="000000"/>
          <w:lang w:val="sr-Cyrl-CS"/>
        </w:rPr>
        <w:t xml:space="preserve"> </w:t>
      </w:r>
      <w:r w:rsidR="002C4D07" w:rsidRPr="00B1207C">
        <w:rPr>
          <w:rFonts w:eastAsia="Times New Roman"/>
          <w:color w:val="000000"/>
          <w:lang w:val="sr-Cyrl-CS"/>
        </w:rPr>
        <w:t xml:space="preserve"> </w:t>
      </w:r>
    </w:p>
    <w:p w:rsidR="00B1207C" w:rsidRPr="00B1207C" w:rsidRDefault="00E659C7" w:rsidP="00B6496D">
      <w:pPr>
        <w:pStyle w:val="ListParagraph"/>
        <w:numPr>
          <w:ilvl w:val="0"/>
          <w:numId w:val="22"/>
        </w:numPr>
        <w:shd w:val="clear" w:color="auto" w:fill="FFFFFF"/>
        <w:tabs>
          <w:tab w:val="left" w:pos="1134"/>
        </w:tabs>
        <w:ind w:left="0" w:firstLine="851"/>
        <w:rPr>
          <w:rFonts w:eastAsia="Times New Roman"/>
          <w:color w:val="000000"/>
          <w:lang w:val="sr-Cyrl-CS"/>
        </w:rPr>
      </w:pPr>
      <w:r>
        <w:rPr>
          <w:rFonts w:eastAsia="Times New Roman"/>
          <w:color w:val="000000"/>
          <w:lang w:val="sr-Cyrl-CS"/>
        </w:rPr>
        <w:t>На страни 7/38, у реду – моторно возило</w:t>
      </w:r>
      <w:r w:rsidR="00822CA4">
        <w:rPr>
          <w:rFonts w:eastAsia="Times New Roman"/>
          <w:color w:val="000000"/>
          <w:lang w:val="sr-Cyrl-CS"/>
        </w:rPr>
        <w:t>, после речи „носивости“ додаје се реч „</w:t>
      </w:r>
      <w:r w:rsidR="00822CA4" w:rsidRPr="00B330D0">
        <w:rPr>
          <w:rFonts w:eastAsia="Times New Roman"/>
          <w:b/>
          <w:color w:val="000000"/>
          <w:lang w:val="sr-Cyrl-CS"/>
        </w:rPr>
        <w:t>до</w:t>
      </w:r>
      <w:r w:rsidR="00822CA4">
        <w:rPr>
          <w:rFonts w:eastAsia="Times New Roman"/>
          <w:color w:val="000000"/>
          <w:lang w:val="sr-Cyrl-CS"/>
        </w:rPr>
        <w:t>“</w:t>
      </w:r>
    </w:p>
    <w:p w:rsidR="002C4D07" w:rsidRPr="001F5F55" w:rsidRDefault="002C4D07" w:rsidP="00B758EC">
      <w:pPr>
        <w:pStyle w:val="ListParagraph"/>
        <w:shd w:val="clear" w:color="auto" w:fill="FFFFFF"/>
        <w:ind w:left="0"/>
        <w:rPr>
          <w:rFonts w:eastAsia="Times New Roman"/>
          <w:color w:val="000000"/>
        </w:rPr>
      </w:pPr>
    </w:p>
    <w:p w:rsidR="00511BF6" w:rsidRDefault="001F5F55" w:rsidP="00B330D0">
      <w:pPr>
        <w:shd w:val="clear" w:color="auto" w:fill="FFFFFF"/>
        <w:spacing w:before="100" w:beforeAutospacing="1" w:after="100" w:afterAutospacing="1"/>
        <w:jc w:val="both"/>
        <w:rPr>
          <w:rFonts w:eastAsia="Times New Roman"/>
          <w:color w:val="000000"/>
        </w:rPr>
      </w:pPr>
      <w:r w:rsidRPr="001F5F55">
        <w:rPr>
          <w:rFonts w:eastAsia="Times New Roman"/>
          <w:color w:val="000000"/>
        </w:rPr>
        <w:t> </w:t>
      </w:r>
      <w:r w:rsidR="00B330D0">
        <w:rPr>
          <w:rFonts w:eastAsia="Times New Roman"/>
          <w:color w:val="000000"/>
        </w:rPr>
        <w:tab/>
      </w:r>
      <w:proofErr w:type="gramStart"/>
      <w:r w:rsidR="00836371">
        <w:rPr>
          <w:rFonts w:eastAsia="Times New Roman"/>
          <w:color w:val="000000"/>
        </w:rPr>
        <w:t>На основу извршених Измена Конкурсне документације потребно је про</w:t>
      </w:r>
      <w:r w:rsidR="00B6496D">
        <w:rPr>
          <w:rFonts w:eastAsia="Times New Roman"/>
          <w:color w:val="000000"/>
        </w:rPr>
        <w:t>дужити рок за подношење</w:t>
      </w:r>
      <w:r w:rsidR="009C6351">
        <w:rPr>
          <w:rFonts w:eastAsia="Times New Roman"/>
          <w:color w:val="000000"/>
        </w:rPr>
        <w:t xml:space="preserve"> понуда</w:t>
      </w:r>
      <w:r w:rsidR="00836371">
        <w:rPr>
          <w:rFonts w:eastAsia="Times New Roman"/>
          <w:color w:val="000000"/>
        </w:rPr>
        <w:t>.</w:t>
      </w:r>
      <w:proofErr w:type="gramEnd"/>
    </w:p>
    <w:p w:rsidR="002E1AF0" w:rsidRPr="002E1AF0" w:rsidRDefault="002E1AF0" w:rsidP="002E1AF0">
      <w:pPr>
        <w:shd w:val="clear" w:color="auto" w:fill="FFFFFF"/>
        <w:spacing w:before="100" w:beforeAutospacing="1" w:after="100" w:afterAutospacing="1"/>
        <w:jc w:val="both"/>
      </w:pPr>
    </w:p>
    <w:p w:rsidR="00663C0D" w:rsidRDefault="00663C0D" w:rsidP="000161A5">
      <w:pPr>
        <w:pStyle w:val="ListParagraph"/>
        <w:spacing w:after="240"/>
        <w:jc w:val="both"/>
      </w:pPr>
      <w:r>
        <w:rPr>
          <w:b/>
        </w:rPr>
        <w:t xml:space="preserve">Прилог: </w:t>
      </w:r>
      <w:r w:rsidRPr="00663C0D">
        <w:t>измењене стране Конкурсне документације</w:t>
      </w:r>
      <w:r w:rsidR="004A6A2A">
        <w:t xml:space="preserve"> </w:t>
      </w:r>
    </w:p>
    <w:p w:rsidR="001D69D8" w:rsidRDefault="001D69D8" w:rsidP="000161A5">
      <w:pPr>
        <w:pStyle w:val="ListParagraph"/>
        <w:spacing w:after="240"/>
        <w:jc w:val="both"/>
      </w:pPr>
    </w:p>
    <w:p w:rsidR="001D69D8" w:rsidRDefault="001D69D8" w:rsidP="000161A5">
      <w:pPr>
        <w:pStyle w:val="ListParagraph"/>
        <w:spacing w:after="240"/>
        <w:jc w:val="both"/>
      </w:pPr>
    </w:p>
    <w:p w:rsidR="002B49AB" w:rsidRPr="002B49AB" w:rsidRDefault="002B49AB" w:rsidP="000161A5">
      <w:pPr>
        <w:pStyle w:val="ListParagraph"/>
        <w:spacing w:after="240"/>
        <w:jc w:val="both"/>
      </w:pPr>
    </w:p>
    <w:p w:rsidR="0027048C" w:rsidRDefault="00663C0D" w:rsidP="005A1549">
      <w:pPr>
        <w:jc w:val="center"/>
        <w:rPr>
          <w:b/>
        </w:rPr>
      </w:pPr>
      <w:r w:rsidRPr="00663C0D">
        <w:rPr>
          <w:b/>
        </w:rPr>
        <w:t>КОМИСИЈА ЗА ЈАВНУ НАБАВКУ</w:t>
      </w:r>
      <w:r w:rsidR="0027048C">
        <w:rPr>
          <w:b/>
        </w:rPr>
        <w:t xml:space="preserve"> </w:t>
      </w:r>
    </w:p>
    <w:p w:rsidR="00AB2979" w:rsidRPr="0027048C" w:rsidRDefault="0027048C" w:rsidP="005A1549">
      <w:pPr>
        <w:jc w:val="center"/>
        <w:rPr>
          <w:b/>
        </w:rPr>
      </w:pPr>
      <w:r>
        <w:rPr>
          <w:b/>
        </w:rPr>
        <w:t>ОПШТИНСКЕ УПРАВЕ ОПШТИНЕ ЉУБОВИЈА</w:t>
      </w:r>
    </w:p>
    <w:p w:rsidR="001D69D8" w:rsidRDefault="001D69D8" w:rsidP="005A1549">
      <w:pPr>
        <w:jc w:val="center"/>
        <w:rPr>
          <w:b/>
        </w:rPr>
      </w:pPr>
    </w:p>
    <w:p w:rsidR="001D69D8" w:rsidRDefault="001D69D8" w:rsidP="005A1549">
      <w:pPr>
        <w:jc w:val="center"/>
        <w:rPr>
          <w:b/>
        </w:rPr>
      </w:pPr>
    </w:p>
    <w:p w:rsidR="001D69D8" w:rsidRDefault="001D69D8" w:rsidP="005A1549">
      <w:pPr>
        <w:jc w:val="center"/>
        <w:rPr>
          <w:b/>
        </w:rPr>
      </w:pPr>
    </w:p>
    <w:p w:rsidR="001D69D8" w:rsidRDefault="001D69D8" w:rsidP="005A1549">
      <w:pPr>
        <w:jc w:val="center"/>
        <w:rPr>
          <w:b/>
        </w:rPr>
      </w:pPr>
    </w:p>
    <w:p w:rsidR="001D69D8" w:rsidRDefault="001D69D8" w:rsidP="005A1549">
      <w:pPr>
        <w:jc w:val="center"/>
        <w:rPr>
          <w:b/>
        </w:rPr>
      </w:pPr>
    </w:p>
    <w:p w:rsidR="002B49AB" w:rsidRDefault="002B49AB" w:rsidP="005A1549">
      <w:pPr>
        <w:jc w:val="center"/>
        <w:rPr>
          <w:b/>
        </w:rPr>
      </w:pPr>
    </w:p>
    <w:p w:rsidR="007E47AD" w:rsidRDefault="007E47AD" w:rsidP="005A1549">
      <w:pPr>
        <w:jc w:val="center"/>
        <w:rPr>
          <w:b/>
        </w:rPr>
      </w:pPr>
    </w:p>
    <w:p w:rsidR="007E47AD" w:rsidRPr="007E47AD" w:rsidRDefault="007E47AD" w:rsidP="005A1549">
      <w:pPr>
        <w:jc w:val="center"/>
        <w:rPr>
          <w:b/>
        </w:rPr>
      </w:pPr>
    </w:p>
    <w:p w:rsidR="007E47AD" w:rsidRDefault="007E47AD" w:rsidP="007E47AD">
      <w:pPr>
        <w:pStyle w:val="Heading2"/>
        <w:jc w:val="both"/>
        <w:rPr>
          <w:rFonts w:ascii="Times New Roman" w:hAnsi="Times New Roman" w:cs="Times New Roman"/>
          <w:color w:val="auto"/>
          <w:sz w:val="24"/>
          <w:szCs w:val="24"/>
        </w:rPr>
      </w:pPr>
      <w:proofErr w:type="gramStart"/>
      <w:r w:rsidRPr="00681879">
        <w:rPr>
          <w:i/>
          <w:color w:val="auto"/>
          <w:u w:val="single"/>
          <w:lang w:val="en-US"/>
        </w:rPr>
        <w:lastRenderedPageBreak/>
        <w:t>IV</w:t>
      </w:r>
      <w:r>
        <w:rPr>
          <w:i/>
          <w:color w:val="auto"/>
          <w:u w:val="single"/>
        </w:rPr>
        <w:t xml:space="preserve"> </w:t>
      </w:r>
      <w:r w:rsidRPr="00681879">
        <w:rPr>
          <w:i/>
          <w:color w:val="auto"/>
          <w:u w:val="single"/>
          <w:lang w:val="en-US"/>
        </w:rPr>
        <w:t xml:space="preserve"> </w:t>
      </w:r>
      <w:r w:rsidRPr="00F80822">
        <w:rPr>
          <w:rFonts w:ascii="Times New Roman" w:hAnsi="Times New Roman" w:cs="Times New Roman"/>
          <w:i/>
          <w:color w:val="auto"/>
          <w:sz w:val="24"/>
          <w:szCs w:val="24"/>
          <w:u w:val="single"/>
        </w:rPr>
        <w:t>УСЛОВИ</w:t>
      </w:r>
      <w:proofErr w:type="gramEnd"/>
      <w:r w:rsidRPr="00F80822">
        <w:rPr>
          <w:rFonts w:ascii="Times New Roman" w:hAnsi="Times New Roman" w:cs="Times New Roman"/>
          <w:i/>
          <w:color w:val="auto"/>
          <w:sz w:val="24"/>
          <w:szCs w:val="24"/>
          <w:u w:val="single"/>
        </w:rPr>
        <w:t xml:space="preserve"> ЗА УЧЕШЋЕ У ПОСТУПКУ ЈАВНЕ НАБАВКЕ ИЗ ЧЛ.  75. И 76. ЗАКОНА О ЈАВНИМ НАБАВКАМА</w:t>
      </w:r>
      <w:r w:rsidRPr="00F80822">
        <w:rPr>
          <w:rFonts w:ascii="Times New Roman" w:hAnsi="Times New Roman" w:cs="Times New Roman"/>
          <w:color w:val="auto"/>
          <w:sz w:val="24"/>
          <w:szCs w:val="24"/>
        </w:rPr>
        <w:t xml:space="preserve"> И УПУТСТВО КАКО СЕ ДОКАЗУЈЕ ИСПУЊЕНОСТ ТИХ УСЛОВА</w:t>
      </w:r>
    </w:p>
    <w:p w:rsidR="005A66E6" w:rsidRDefault="005A66E6" w:rsidP="005A66E6">
      <w:pPr>
        <w:rPr>
          <w:lang w:eastAsia="ar-SA"/>
        </w:rPr>
      </w:pPr>
    </w:p>
    <w:p w:rsidR="005A66E6" w:rsidRPr="005A66E6" w:rsidRDefault="005A66E6" w:rsidP="005A66E6">
      <w:pPr>
        <w:rPr>
          <w:lang w:eastAsia="ar-SA"/>
        </w:rPr>
      </w:pPr>
    </w:p>
    <w:p w:rsidR="007E47AD" w:rsidRPr="00295474" w:rsidRDefault="007E47AD" w:rsidP="007E47AD">
      <w:pPr>
        <w:autoSpaceDE w:val="0"/>
        <w:autoSpaceDN w:val="0"/>
        <w:adjustRightInd w:val="0"/>
        <w:ind w:left="1068"/>
        <w:jc w:val="both"/>
        <w:rPr>
          <w:rFonts w:eastAsia="Calibri-Bold"/>
          <w:b/>
          <w:bCs/>
          <w:color w:val="000000"/>
        </w:rPr>
      </w:pPr>
    </w:p>
    <w:p w:rsidR="007E47AD" w:rsidRPr="00295474" w:rsidRDefault="007E47AD" w:rsidP="007E47AD">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7E47AD" w:rsidRPr="00295474" w:rsidRDefault="007E47AD" w:rsidP="007E47AD">
      <w:pPr>
        <w:autoSpaceDE w:val="0"/>
        <w:autoSpaceDN w:val="0"/>
        <w:adjustRightInd w:val="0"/>
        <w:ind w:firstLine="708"/>
        <w:jc w:val="both"/>
        <w:rPr>
          <w:rFonts w:eastAsia="Calibri-Bold"/>
          <w:bCs/>
          <w:color w:val="000000"/>
        </w:rPr>
      </w:pPr>
      <w:proofErr w:type="gramStart"/>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w:t>
      </w:r>
      <w:proofErr w:type="gramEnd"/>
      <w:r w:rsidRPr="00295474">
        <w:rPr>
          <w:rFonts w:eastAsia="Calibri-Bold"/>
          <w:bCs/>
          <w:color w:val="000000"/>
        </w:rPr>
        <w:t xml:space="preserve"> Закона о јавним набавкама (у даљем тексту: Закон).Обавезни услови су:</w:t>
      </w:r>
    </w:p>
    <w:p w:rsidR="007E47AD" w:rsidRPr="00FA5B31" w:rsidRDefault="007E47AD" w:rsidP="007E47AD">
      <w:pPr>
        <w:numPr>
          <w:ilvl w:val="0"/>
          <w:numId w:val="23"/>
        </w:numPr>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7E47AD" w:rsidRPr="00FA5B31" w:rsidRDefault="007E47AD" w:rsidP="007E47AD">
      <w:pPr>
        <w:numPr>
          <w:ilvl w:val="0"/>
          <w:numId w:val="23"/>
        </w:numPr>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7E47AD" w:rsidRPr="00295474" w:rsidRDefault="007E47AD" w:rsidP="007E47AD">
      <w:pPr>
        <w:autoSpaceDE w:val="0"/>
        <w:autoSpaceDN w:val="0"/>
        <w:adjustRightInd w:val="0"/>
        <w:ind w:left="993" w:hanging="285"/>
        <w:jc w:val="both"/>
        <w:rPr>
          <w:rFonts w:eastAsia="Calibri-Bold"/>
          <w:color w:val="000000"/>
        </w:rPr>
      </w:pPr>
      <w:r w:rsidRPr="00295474">
        <w:rPr>
          <w:rFonts w:eastAsia="Calibri-Bold"/>
          <w:bCs/>
          <w:color w:val="000000"/>
        </w:rPr>
        <w:t xml:space="preserve">3) </w:t>
      </w:r>
      <w:proofErr w:type="gramStart"/>
      <w:r w:rsidRPr="00295474">
        <w:rPr>
          <w:rFonts w:eastAsia="Calibri-Bold"/>
          <w:color w:val="000000"/>
        </w:rPr>
        <w:t>да</w:t>
      </w:r>
      <w:proofErr w:type="gramEnd"/>
      <w:r w:rsidRPr="00295474">
        <w:rPr>
          <w:rFonts w:eastAsia="Calibri-Bold"/>
          <w:color w:val="000000"/>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roofErr w:type="gramStart"/>
      <w:r w:rsidRPr="00295474">
        <w:rPr>
          <w:rFonts w:eastAsia="Calibri-Bold"/>
          <w:color w:val="000000"/>
        </w:rPr>
        <w:t>члан</w:t>
      </w:r>
      <w:proofErr w:type="gramEnd"/>
      <w:r w:rsidRPr="00295474">
        <w:rPr>
          <w:rFonts w:eastAsia="Calibri-Bold"/>
          <w:color w:val="000000"/>
        </w:rPr>
        <w:t xml:space="preserve"> 75. ст. 1. </w:t>
      </w:r>
      <w:proofErr w:type="gramStart"/>
      <w:r w:rsidRPr="00295474">
        <w:rPr>
          <w:rFonts w:eastAsia="Calibri-Bold"/>
          <w:color w:val="000000"/>
        </w:rPr>
        <w:t>тачка</w:t>
      </w:r>
      <w:proofErr w:type="gramEnd"/>
      <w:r w:rsidRPr="00295474">
        <w:rPr>
          <w:rFonts w:eastAsia="Calibri-Bold"/>
          <w:color w:val="000000"/>
        </w:rPr>
        <w:t xml:space="preserve"> 4) Закона);</w:t>
      </w:r>
    </w:p>
    <w:p w:rsidR="007E47AD" w:rsidRPr="00F85F63" w:rsidRDefault="007E47AD" w:rsidP="007E47AD">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proofErr w:type="gramStart"/>
      <w:r>
        <w:rPr>
          <w:rFonts w:eastAsia="Calibri-Bold"/>
          <w:b/>
          <w:i/>
          <w:color w:val="000000"/>
        </w:rPr>
        <w:t>з</w:t>
      </w:r>
      <w:r w:rsidRPr="00295474">
        <w:rPr>
          <w:rFonts w:eastAsia="Calibri-Bold"/>
          <w:b/>
          <w:i/>
          <w:color w:val="000000"/>
        </w:rPr>
        <w:t>а</w:t>
      </w:r>
      <w:proofErr w:type="gramEnd"/>
      <w:r w:rsidRPr="00295474">
        <w:rPr>
          <w:rFonts w:eastAsia="Calibri-Bold"/>
          <w:b/>
          <w:i/>
          <w:color w:val="000000"/>
        </w:rPr>
        <w:t xml:space="preserve">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7E47AD" w:rsidRPr="00295474" w:rsidRDefault="007E47AD" w:rsidP="007E47AD">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w:t>
      </w:r>
      <w:proofErr w:type="gramStart"/>
      <w:r w:rsidRPr="00295474">
        <w:rPr>
          <w:rFonts w:eastAsia="Calibri-Bold"/>
          <w:bCs/>
          <w:color w:val="000000"/>
        </w:rPr>
        <w:t>понуђач</w:t>
      </w:r>
      <w:proofErr w:type="gramEnd"/>
      <w:r w:rsidRPr="00295474">
        <w:rPr>
          <w:rFonts w:eastAsia="Calibri-Bold"/>
          <w:bCs/>
          <w:color w:val="000000"/>
        </w:rPr>
        <w:t xml:space="preserve"> је дужан  да при састављању понуде изричито наведе да је поштовао </w:t>
      </w:r>
    </w:p>
    <w:p w:rsidR="007E47AD" w:rsidRDefault="007E47AD" w:rsidP="007E47AD">
      <w:pPr>
        <w:autoSpaceDE w:val="0"/>
        <w:autoSpaceDN w:val="0"/>
        <w:adjustRightInd w:val="0"/>
        <w:spacing w:after="120"/>
        <w:jc w:val="both"/>
        <w:rPr>
          <w:rFonts w:eastAsia="Calibri-Bold"/>
          <w:bCs/>
          <w:color w:val="000000"/>
        </w:rPr>
      </w:pPr>
      <w:proofErr w:type="gramStart"/>
      <w:r w:rsidRPr="00295474">
        <w:rPr>
          <w:rFonts w:eastAsia="Calibri-Bold"/>
          <w:bCs/>
          <w:color w:val="000000"/>
        </w:rPr>
        <w:t>обавезе</w:t>
      </w:r>
      <w:proofErr w:type="gramEnd"/>
      <w:r w:rsidRPr="00295474">
        <w:rPr>
          <w:rFonts w:eastAsia="Calibri-Bold"/>
          <w:bCs/>
          <w:color w:val="000000"/>
        </w:rPr>
        <w:t xml:space="preserve">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w:t>
      </w:r>
      <w:proofErr w:type="gramStart"/>
      <w:r w:rsidRPr="00295474">
        <w:rPr>
          <w:rFonts w:eastAsia="Calibri-Bold"/>
          <w:bCs/>
          <w:color w:val="000000"/>
        </w:rPr>
        <w:t>Закона).</w:t>
      </w:r>
      <w:proofErr w:type="gramEnd"/>
    </w:p>
    <w:p w:rsidR="007E47AD" w:rsidRDefault="007E47AD" w:rsidP="007E47AD">
      <w:pPr>
        <w:autoSpaceDE w:val="0"/>
        <w:autoSpaceDN w:val="0"/>
        <w:adjustRightInd w:val="0"/>
        <w:spacing w:after="120"/>
        <w:jc w:val="both"/>
        <w:rPr>
          <w:rFonts w:eastAsia="Calibri-Bold"/>
          <w:bCs/>
          <w:color w:val="000000"/>
        </w:rPr>
      </w:pPr>
    </w:p>
    <w:p w:rsidR="005A66E6" w:rsidRPr="005A66E6" w:rsidRDefault="005A66E6" w:rsidP="007E47AD">
      <w:pPr>
        <w:autoSpaceDE w:val="0"/>
        <w:autoSpaceDN w:val="0"/>
        <w:adjustRightInd w:val="0"/>
        <w:spacing w:after="120"/>
        <w:jc w:val="both"/>
        <w:rPr>
          <w:rFonts w:eastAsia="Calibri-Bold"/>
          <w:bCs/>
          <w:color w:val="000000"/>
        </w:rPr>
      </w:pPr>
    </w:p>
    <w:p w:rsidR="007E47AD" w:rsidRPr="00295474" w:rsidRDefault="007E47AD" w:rsidP="007E47AD">
      <w:pPr>
        <w:autoSpaceDE w:val="0"/>
        <w:autoSpaceDN w:val="0"/>
        <w:adjustRightInd w:val="0"/>
        <w:rPr>
          <w:rFonts w:eastAsia="Calibri-Bold"/>
          <w:b/>
          <w:bCs/>
          <w:i/>
          <w:color w:val="000000"/>
        </w:rPr>
      </w:pPr>
      <w:r w:rsidRPr="00295474">
        <w:rPr>
          <w:rFonts w:eastAsia="Calibri-Bold"/>
          <w:b/>
          <w:bCs/>
          <w:i/>
          <w:color w:val="000000"/>
        </w:rPr>
        <w:t>1.2. ДОДАТНИ УСЛОВИ</w:t>
      </w:r>
    </w:p>
    <w:p w:rsidR="007E47AD" w:rsidRDefault="007E47AD" w:rsidP="007E47AD">
      <w:pPr>
        <w:spacing w:line="100" w:lineRule="atLeast"/>
        <w:ind w:firstLine="708"/>
        <w:contextualSpacing/>
        <w:jc w:val="both"/>
        <w:rPr>
          <w:rFonts w:ascii="Calibri" w:eastAsia="Calibri" w:hAnsi="Calibri"/>
          <w:i/>
        </w:rPr>
      </w:pPr>
      <w:proofErr w:type="gramStart"/>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w:t>
      </w:r>
      <w:proofErr w:type="gramEnd"/>
      <w:r w:rsidRPr="00295474">
        <w:rPr>
          <w:rFonts w:eastAsia="Calibri"/>
          <w:iCs/>
        </w:rPr>
        <w:t xml:space="preserve"> </w:t>
      </w:r>
      <w:proofErr w:type="gramStart"/>
      <w:r w:rsidRPr="00295474">
        <w:rPr>
          <w:rFonts w:eastAsia="Calibri"/>
          <w:iCs/>
        </w:rPr>
        <w:t>став</w:t>
      </w:r>
      <w:proofErr w:type="gramEnd"/>
      <w:r w:rsidRPr="00295474">
        <w:rPr>
          <w:rFonts w:eastAsia="Calibri"/>
          <w:iCs/>
        </w:rPr>
        <w:t xml:space="preserve">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7E47AD" w:rsidRPr="00295474" w:rsidRDefault="007E47AD" w:rsidP="007E47AD">
      <w:pPr>
        <w:numPr>
          <w:ilvl w:val="0"/>
          <w:numId w:val="24"/>
        </w:numPr>
        <w:tabs>
          <w:tab w:val="left" w:pos="709"/>
        </w:tabs>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E47AD" w:rsidRPr="00295474" w:rsidTr="0081647C">
        <w:tc>
          <w:tcPr>
            <w:tcW w:w="9180" w:type="dxa"/>
            <w:shd w:val="clear" w:color="auto" w:fill="auto"/>
          </w:tcPr>
          <w:p w:rsidR="007E47AD" w:rsidRPr="00E0422B" w:rsidRDefault="007E47AD" w:rsidP="0081647C">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Pr>
                <w:rFonts w:eastAsia="Calibri"/>
                <w:b/>
              </w:rPr>
              <w:t>4</w:t>
            </w:r>
            <w:r>
              <w:rPr>
                <w:rFonts w:eastAsia="Calibri"/>
                <w:b/>
                <w:lang w:val="sr-Cyrl-CS"/>
              </w:rPr>
              <w:t xml:space="preserve">.800.000,00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7E47AD" w:rsidRDefault="007E47AD" w:rsidP="007E47AD">
      <w:pPr>
        <w:autoSpaceDE w:val="0"/>
        <w:autoSpaceDN w:val="0"/>
        <w:adjustRightInd w:val="0"/>
        <w:rPr>
          <w:rFonts w:eastAsia="Calibri-Bold"/>
          <w:b/>
          <w:bCs/>
          <w:color w:val="000000"/>
          <w:lang w:val="sr-Cyrl-CS"/>
        </w:rPr>
      </w:pPr>
    </w:p>
    <w:p w:rsidR="005A66E6" w:rsidRDefault="005A66E6" w:rsidP="007E47AD">
      <w:pPr>
        <w:autoSpaceDE w:val="0"/>
        <w:autoSpaceDN w:val="0"/>
        <w:adjustRightInd w:val="0"/>
        <w:rPr>
          <w:rFonts w:eastAsia="Calibri-Bold"/>
          <w:b/>
          <w:bCs/>
          <w:color w:val="000000"/>
          <w:lang w:val="sr-Cyrl-CS"/>
        </w:rPr>
      </w:pPr>
    </w:p>
    <w:p w:rsidR="007E47AD" w:rsidRPr="00A55AEF" w:rsidRDefault="007E47AD" w:rsidP="007E47AD">
      <w:pPr>
        <w:numPr>
          <w:ilvl w:val="0"/>
          <w:numId w:val="24"/>
        </w:numPr>
        <w:tabs>
          <w:tab w:val="left" w:pos="709"/>
        </w:tabs>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7E47AD" w:rsidRPr="00295474" w:rsidTr="0081647C">
        <w:trPr>
          <w:trHeight w:val="710"/>
        </w:trPr>
        <w:tc>
          <w:tcPr>
            <w:tcW w:w="9327" w:type="dxa"/>
            <w:shd w:val="clear" w:color="auto" w:fill="auto"/>
          </w:tcPr>
          <w:p w:rsidR="007E47AD" w:rsidRPr="00295474" w:rsidRDefault="007E47AD" w:rsidP="0081647C">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7E47AD" w:rsidRDefault="007E47AD" w:rsidP="0081647C">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7E47AD" w:rsidRPr="00295474" w:rsidTr="0081647C">
              <w:tc>
                <w:tcPr>
                  <w:tcW w:w="7313" w:type="dxa"/>
                  <w:shd w:val="clear" w:color="auto" w:fill="BFBFBF"/>
                </w:tcPr>
                <w:p w:rsidR="007E47AD" w:rsidRPr="00295474" w:rsidRDefault="007E47AD" w:rsidP="0081647C">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7E47AD" w:rsidRPr="00295474" w:rsidRDefault="007E47AD" w:rsidP="0081647C">
                  <w:pPr>
                    <w:tabs>
                      <w:tab w:val="center" w:pos="4153"/>
                      <w:tab w:val="right" w:pos="8306"/>
                    </w:tabs>
                    <w:jc w:val="both"/>
                    <w:rPr>
                      <w:b/>
                      <w:lang w:val="sr-Cyrl-CS"/>
                    </w:rPr>
                  </w:pPr>
                  <w:r w:rsidRPr="00295474">
                    <w:rPr>
                      <w:b/>
                      <w:lang w:val="sr-Cyrl-CS"/>
                    </w:rPr>
                    <w:t>Количина</w:t>
                  </w:r>
                </w:p>
              </w:tc>
            </w:tr>
            <w:tr w:rsidR="007E47AD" w:rsidRPr="00295474" w:rsidTr="0081647C">
              <w:tc>
                <w:tcPr>
                  <w:tcW w:w="7313" w:type="dxa"/>
                </w:tcPr>
                <w:p w:rsidR="007E47AD" w:rsidRPr="00295474" w:rsidRDefault="007E47AD" w:rsidP="0081647C">
                  <w:pPr>
                    <w:tabs>
                      <w:tab w:val="center" w:pos="4153"/>
                      <w:tab w:val="right" w:pos="8306"/>
                    </w:tabs>
                    <w:jc w:val="both"/>
                    <w:rPr>
                      <w:lang w:val="sr-Cyrl-CS"/>
                    </w:rPr>
                  </w:pPr>
                  <w:r w:rsidRPr="00295474">
                    <w:rPr>
                      <w:lang w:val="sr-Cyrl-CS"/>
                    </w:rPr>
                    <w:t xml:space="preserve">Камион кипер </w:t>
                  </w:r>
                  <w:r>
                    <w:rPr>
                      <w:lang w:val="sr-Cyrl-CS"/>
                    </w:rPr>
                    <w:t xml:space="preserve">носивости </w:t>
                  </w:r>
                  <w:r w:rsidR="005A66E6">
                    <w:rPr>
                      <w:lang w:val="sr-Cyrl-CS"/>
                    </w:rPr>
                    <w:t xml:space="preserve">минимум </w:t>
                  </w:r>
                  <w:r>
                    <w:rPr>
                      <w:lang w:val="sr-Cyrl-CS"/>
                    </w:rPr>
                    <w:t>12 т</w:t>
                  </w:r>
                </w:p>
              </w:tc>
              <w:tc>
                <w:tcPr>
                  <w:tcW w:w="1788" w:type="dxa"/>
                </w:tcPr>
                <w:p w:rsidR="007E47AD" w:rsidRPr="00295474" w:rsidRDefault="007E47AD" w:rsidP="0081647C">
                  <w:pPr>
                    <w:tabs>
                      <w:tab w:val="center" w:pos="4153"/>
                      <w:tab w:val="right" w:pos="8306"/>
                    </w:tabs>
                    <w:jc w:val="both"/>
                    <w:rPr>
                      <w:lang w:val="sr-Cyrl-CS"/>
                    </w:rPr>
                  </w:pPr>
                  <w:r>
                    <w:rPr>
                      <w:lang w:val="sr-Cyrl-CS"/>
                    </w:rPr>
                    <w:t>комада 2</w:t>
                  </w:r>
                </w:p>
              </w:tc>
            </w:tr>
            <w:tr w:rsidR="007E47AD" w:rsidRPr="00295474" w:rsidTr="0081647C">
              <w:tc>
                <w:tcPr>
                  <w:tcW w:w="7313" w:type="dxa"/>
                </w:tcPr>
                <w:p w:rsidR="007E47AD" w:rsidRPr="00295474" w:rsidRDefault="007E47AD" w:rsidP="0081647C">
                  <w:pPr>
                    <w:tabs>
                      <w:tab w:val="center" w:pos="4153"/>
                      <w:tab w:val="right" w:pos="8306"/>
                    </w:tabs>
                    <w:jc w:val="both"/>
                    <w:rPr>
                      <w:lang w:val="sr-Cyrl-CS"/>
                    </w:rPr>
                  </w:pPr>
                  <w:r>
                    <w:rPr>
                      <w:lang w:val="sr-Cyrl-CS"/>
                    </w:rPr>
                    <w:t>Компресор за опсецање рупа</w:t>
                  </w:r>
                </w:p>
              </w:tc>
              <w:tc>
                <w:tcPr>
                  <w:tcW w:w="1788" w:type="dxa"/>
                </w:tcPr>
                <w:p w:rsidR="007E47AD" w:rsidRPr="00295474" w:rsidRDefault="007E47AD" w:rsidP="0081647C">
                  <w:pPr>
                    <w:tabs>
                      <w:tab w:val="center" w:pos="4153"/>
                      <w:tab w:val="right" w:pos="8306"/>
                    </w:tabs>
                    <w:jc w:val="both"/>
                    <w:rPr>
                      <w:lang w:val="sr-Cyrl-CS"/>
                    </w:rPr>
                  </w:pPr>
                  <w:r>
                    <w:rPr>
                      <w:lang w:val="sr-Cyrl-CS"/>
                    </w:rPr>
                    <w:t>комада 1</w:t>
                  </w:r>
                </w:p>
              </w:tc>
            </w:tr>
          </w:tbl>
          <w:p w:rsidR="007E47AD" w:rsidRPr="000B6C67" w:rsidRDefault="007E47AD" w:rsidP="0081647C">
            <w:pPr>
              <w:tabs>
                <w:tab w:val="left" w:pos="709"/>
              </w:tabs>
              <w:spacing w:after="200" w:line="276" w:lineRule="auto"/>
              <w:contextualSpacing/>
              <w:jc w:val="both"/>
              <w:rPr>
                <w:rFonts w:eastAsia="TimesNewRomanPS-BoldMT"/>
                <w:b/>
                <w:bCs/>
                <w:i/>
                <w:lang w:val="sr-Cyrl-CS"/>
              </w:rPr>
            </w:pPr>
          </w:p>
        </w:tc>
      </w:tr>
    </w:tbl>
    <w:p w:rsidR="007E47AD" w:rsidRDefault="007E47AD" w:rsidP="008642DD">
      <w:pPr>
        <w:rPr>
          <w:b/>
          <w:iCs/>
          <w:u w:val="single"/>
        </w:rPr>
      </w:pPr>
    </w:p>
    <w:p w:rsidR="007E47AD" w:rsidRDefault="007E47AD" w:rsidP="008642DD">
      <w:pPr>
        <w:rPr>
          <w:b/>
          <w:iCs/>
          <w:u w:val="single"/>
        </w:rPr>
      </w:pPr>
    </w:p>
    <w:p w:rsidR="005A66E6" w:rsidRDefault="005A66E6" w:rsidP="008642DD">
      <w:pPr>
        <w:rPr>
          <w:b/>
          <w:iCs/>
          <w:u w:val="single"/>
        </w:rPr>
      </w:pPr>
    </w:p>
    <w:p w:rsidR="005A66E6" w:rsidRDefault="005A66E6" w:rsidP="008642DD">
      <w:pPr>
        <w:rPr>
          <w:b/>
          <w:iCs/>
          <w:u w:val="single"/>
        </w:rPr>
      </w:pPr>
    </w:p>
    <w:p w:rsidR="005A66E6" w:rsidRPr="005A66E6" w:rsidRDefault="005A66E6" w:rsidP="008642DD">
      <w:pPr>
        <w:rPr>
          <w:iCs/>
        </w:rPr>
      </w:pPr>
      <w:r>
        <w:rPr>
          <w:iCs/>
        </w:rPr>
        <w:t xml:space="preserve">          </w:t>
      </w:r>
      <w:r w:rsidRPr="005A66E6">
        <w:rPr>
          <w:iCs/>
        </w:rPr>
        <w:t>Конкурсна документација у поступку јавне набавке мале вредности, ЈН 3/2020</w:t>
      </w:r>
      <w:r w:rsidR="00E1521F">
        <w:rPr>
          <w:iCs/>
        </w:rPr>
        <w:t xml:space="preserve">        6/38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B40A11" w:rsidRPr="00295474" w:rsidTr="0081647C">
        <w:trPr>
          <w:trHeight w:val="710"/>
        </w:trPr>
        <w:tc>
          <w:tcPr>
            <w:tcW w:w="9327" w:type="dxa"/>
            <w:shd w:val="clear" w:color="auto" w:fill="auto"/>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B40A11" w:rsidRPr="00295474" w:rsidTr="0081647C">
              <w:tc>
                <w:tcPr>
                  <w:tcW w:w="7313" w:type="dxa"/>
                </w:tcPr>
                <w:p w:rsidR="00B40A11" w:rsidRDefault="00B40A11" w:rsidP="0081647C">
                  <w:pPr>
                    <w:tabs>
                      <w:tab w:val="center" w:pos="4153"/>
                      <w:tab w:val="right" w:pos="8306"/>
                    </w:tabs>
                    <w:jc w:val="both"/>
                    <w:rPr>
                      <w:lang w:val="sr-Cyrl-CS"/>
                    </w:rPr>
                  </w:pPr>
                  <w:r>
                    <w:rPr>
                      <w:lang w:val="sr-Cyrl-CS"/>
                    </w:rPr>
                    <w:lastRenderedPageBreak/>
                    <w:t xml:space="preserve">Ваљак </w:t>
                  </w:r>
                </w:p>
              </w:tc>
              <w:tc>
                <w:tcPr>
                  <w:tcW w:w="1788" w:type="dxa"/>
                </w:tcPr>
                <w:p w:rsidR="00B40A11" w:rsidRDefault="00B40A11" w:rsidP="0081647C">
                  <w:pPr>
                    <w:tabs>
                      <w:tab w:val="center" w:pos="4153"/>
                      <w:tab w:val="right" w:pos="8306"/>
                    </w:tabs>
                    <w:jc w:val="both"/>
                    <w:rPr>
                      <w:lang w:val="sr-Cyrl-CS"/>
                    </w:rPr>
                  </w:pPr>
                  <w:r>
                    <w:rPr>
                      <w:lang w:val="sr-Cyrl-CS"/>
                    </w:rPr>
                    <w:t>комада 2</w:t>
                  </w:r>
                </w:p>
              </w:tc>
            </w:tr>
            <w:tr w:rsidR="00B40A11" w:rsidRPr="00295474" w:rsidTr="0081647C">
              <w:tc>
                <w:tcPr>
                  <w:tcW w:w="7313" w:type="dxa"/>
                </w:tcPr>
                <w:p w:rsidR="00B40A11" w:rsidRDefault="00B40A11" w:rsidP="0081647C">
                  <w:pPr>
                    <w:tabs>
                      <w:tab w:val="center" w:pos="4153"/>
                      <w:tab w:val="right" w:pos="8306"/>
                    </w:tabs>
                    <w:jc w:val="both"/>
                    <w:rPr>
                      <w:lang w:val="sr-Cyrl-CS"/>
                    </w:rPr>
                  </w:pPr>
                  <w:r>
                    <w:rPr>
                      <w:lang w:val="sr-Cyrl-CS"/>
                    </w:rPr>
                    <w:t xml:space="preserve">Моторно возило носивости </w:t>
                  </w:r>
                  <w:r w:rsidR="0030612A">
                    <w:rPr>
                      <w:lang w:val="sr-Cyrl-CS"/>
                    </w:rPr>
                    <w:t xml:space="preserve">до </w:t>
                  </w:r>
                  <w:r>
                    <w:rPr>
                      <w:lang w:val="sr-Cyrl-CS"/>
                    </w:rPr>
                    <w:t>3,5 тона</w:t>
                  </w:r>
                </w:p>
              </w:tc>
              <w:tc>
                <w:tcPr>
                  <w:tcW w:w="1788" w:type="dxa"/>
                </w:tcPr>
                <w:p w:rsidR="00B40A11" w:rsidRDefault="00B40A11" w:rsidP="0081647C">
                  <w:pPr>
                    <w:tabs>
                      <w:tab w:val="center" w:pos="4153"/>
                      <w:tab w:val="right" w:pos="8306"/>
                    </w:tabs>
                    <w:jc w:val="both"/>
                    <w:rPr>
                      <w:lang w:val="sr-Cyrl-CS"/>
                    </w:rPr>
                  </w:pPr>
                  <w:r>
                    <w:rPr>
                      <w:lang w:val="sr-Cyrl-CS"/>
                    </w:rPr>
                    <w:t>Комада 1</w:t>
                  </w:r>
                </w:p>
              </w:tc>
            </w:tr>
          </w:tbl>
          <w:p w:rsidR="00B40A11" w:rsidRPr="000B6C67" w:rsidRDefault="00B40A11" w:rsidP="0081647C">
            <w:pPr>
              <w:tabs>
                <w:tab w:val="left" w:pos="709"/>
              </w:tabs>
              <w:spacing w:after="200" w:line="276" w:lineRule="auto"/>
              <w:contextualSpacing/>
              <w:jc w:val="both"/>
              <w:rPr>
                <w:rFonts w:eastAsia="TimesNewRomanPS-BoldMT"/>
                <w:b/>
                <w:bCs/>
                <w:i/>
                <w:lang w:val="sr-Cyrl-CS"/>
              </w:rPr>
            </w:pPr>
          </w:p>
        </w:tc>
      </w:tr>
    </w:tbl>
    <w:p w:rsidR="00B40A11" w:rsidRDefault="00B40A11" w:rsidP="00B40A11">
      <w:pPr>
        <w:tabs>
          <w:tab w:val="left" w:pos="709"/>
        </w:tabs>
        <w:spacing w:line="276" w:lineRule="auto"/>
        <w:ind w:left="851"/>
        <w:contextualSpacing/>
        <w:jc w:val="both"/>
        <w:rPr>
          <w:rFonts w:eastAsia="TimesNewRomanPS-BoldMT"/>
          <w:b/>
          <w:bCs/>
          <w:i/>
        </w:rPr>
      </w:pPr>
    </w:p>
    <w:p w:rsidR="008A235D" w:rsidRPr="008A235D" w:rsidRDefault="008A235D" w:rsidP="00B40A11">
      <w:pPr>
        <w:tabs>
          <w:tab w:val="left" w:pos="709"/>
        </w:tabs>
        <w:spacing w:line="276" w:lineRule="auto"/>
        <w:ind w:left="851"/>
        <w:contextualSpacing/>
        <w:jc w:val="both"/>
        <w:rPr>
          <w:rFonts w:eastAsia="TimesNewRomanPS-BoldMT"/>
          <w:b/>
          <w:bCs/>
          <w:i/>
        </w:rPr>
      </w:pPr>
    </w:p>
    <w:p w:rsidR="00B40A11" w:rsidRPr="00295474" w:rsidRDefault="00B40A11" w:rsidP="00B40A11">
      <w:pPr>
        <w:tabs>
          <w:tab w:val="left" w:pos="709"/>
        </w:tabs>
        <w:spacing w:line="276" w:lineRule="auto"/>
        <w:ind w:left="851"/>
        <w:contextualSpacing/>
        <w:jc w:val="both"/>
        <w:rPr>
          <w:rFonts w:eastAsia="TimesNewRomanPS-BoldMT"/>
          <w:b/>
          <w:bCs/>
          <w:i/>
          <w:lang w:val="sr-Cyrl-CS"/>
        </w:rPr>
      </w:pPr>
      <w:r>
        <w:rPr>
          <w:rFonts w:eastAsia="TimesNewRomanPS-BoldMT"/>
          <w:b/>
          <w:bCs/>
          <w:i/>
        </w:rPr>
        <w:t>3)</w:t>
      </w:r>
      <w:r w:rsidRPr="00295474">
        <w:rPr>
          <w:rFonts w:eastAsia="TimesNewRomanPS-BoldMT"/>
          <w:b/>
          <w:bCs/>
          <w:i/>
        </w:rPr>
        <w:t xml:space="preserve"> </w:t>
      </w:r>
      <w:r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B40A11" w:rsidRPr="00295474" w:rsidTr="0081647C">
        <w:trPr>
          <w:trHeight w:val="1536"/>
        </w:trPr>
        <w:tc>
          <w:tcPr>
            <w:tcW w:w="9356" w:type="dxa"/>
            <w:shd w:val="clear" w:color="auto" w:fill="auto"/>
          </w:tcPr>
          <w:p w:rsidR="00B40A11" w:rsidRPr="00295474" w:rsidRDefault="00B40A11" w:rsidP="0081647C">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Pr>
                <w:lang w:val="sr-Cyrl-CS"/>
              </w:rPr>
              <w:t>10</w:t>
            </w:r>
            <w:r>
              <w:t xml:space="preserve"> </w:t>
            </w:r>
            <w:r w:rsidRPr="00295474">
              <w:t>извршилаца, од чега:</w:t>
            </w:r>
          </w:p>
          <w:p w:rsidR="00B40A11" w:rsidRPr="000B6C67" w:rsidRDefault="00B40A11" w:rsidP="0081647C">
            <w:pPr>
              <w:jc w:val="both"/>
              <w:rPr>
                <w:lang w:val="sr-Cyrl-CS"/>
              </w:rPr>
            </w:pPr>
            <w:r>
              <w:t xml:space="preserve">        -   најмање </w:t>
            </w:r>
            <w:r>
              <w:rPr>
                <w:lang w:val="sr-Cyrl-CS"/>
              </w:rPr>
              <w:t>1</w:t>
            </w:r>
            <w:r w:rsidRPr="00295474">
              <w:t xml:space="preserve"> дипломиран</w:t>
            </w:r>
            <w:r>
              <w:t>и</w:t>
            </w:r>
            <w:r w:rsidRPr="00295474">
              <w:t xml:space="preserve"> </w:t>
            </w:r>
            <w:r>
              <w:rPr>
                <w:lang w:val="sr-Cyrl-CS"/>
              </w:rPr>
              <w:t xml:space="preserve">грађевински инжењер </w:t>
            </w:r>
            <w:r>
              <w:t>који поседуј</w:t>
            </w:r>
            <w:r>
              <w:rPr>
                <w:lang w:val="sr-Cyrl-CS"/>
              </w:rPr>
              <w:t>е</w:t>
            </w:r>
            <w:r>
              <w:t xml:space="preserve"> важећу лиценцу </w:t>
            </w:r>
            <w:r>
              <w:rPr>
                <w:lang w:val="sr-Cyrl-CS"/>
              </w:rPr>
              <w:t xml:space="preserve"> број 412 или 415 или 418 или 712 или 812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B40A11" w:rsidRPr="00295474" w:rsidRDefault="00B40A11" w:rsidP="00B40A11">
      <w:pPr>
        <w:autoSpaceDE w:val="0"/>
        <w:autoSpaceDN w:val="0"/>
        <w:adjustRightInd w:val="0"/>
        <w:rPr>
          <w:rFonts w:eastAsia="Calibri-Bold"/>
          <w:b/>
          <w:bCs/>
          <w:color w:val="000000"/>
        </w:rPr>
      </w:pPr>
    </w:p>
    <w:p w:rsidR="00B40A11" w:rsidRPr="006A2FA6" w:rsidRDefault="00B40A11" w:rsidP="00B40A11">
      <w:pPr>
        <w:rPr>
          <w:rFonts w:eastAsia="Calibri-Bold"/>
          <w:bCs/>
          <w:color w:val="000000"/>
        </w:rPr>
      </w:pPr>
    </w:p>
    <w:p w:rsidR="00B40A11" w:rsidRPr="00D802BD" w:rsidRDefault="00B40A11" w:rsidP="00B40A11">
      <w:pPr>
        <w:rPr>
          <w:rFonts w:eastAsia="Calibri-Bold"/>
          <w:bCs/>
          <w:color w:val="000000"/>
        </w:rPr>
      </w:pPr>
    </w:p>
    <w:p w:rsidR="00B40A11" w:rsidRDefault="00B40A11" w:rsidP="00B40A11">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B40A11" w:rsidRPr="00526EF3" w:rsidRDefault="00B40A11" w:rsidP="00B40A11">
      <w:pPr>
        <w:spacing w:line="100" w:lineRule="atLeast"/>
        <w:rPr>
          <w:rFonts w:eastAsia="Arial Unicode MS"/>
          <w:b/>
          <w:i/>
          <w:color w:val="000000"/>
          <w:kern w:val="1"/>
        </w:rPr>
      </w:pPr>
    </w:p>
    <w:p w:rsidR="00B40A11" w:rsidRDefault="00B40A11" w:rsidP="00B40A11">
      <w:pPr>
        <w:spacing w:after="120" w:line="100" w:lineRule="atLeast"/>
        <w:ind w:firstLine="708"/>
        <w:jc w:val="both"/>
        <w:rPr>
          <w:rFonts w:eastAsia="Arial Unicode MS"/>
          <w:color w:val="000000"/>
          <w:kern w:val="1"/>
        </w:rPr>
      </w:pPr>
      <w:proofErr w:type="gramStart"/>
      <w:r w:rsidRPr="00295474">
        <w:rPr>
          <w:rFonts w:eastAsia="Arial Unicode MS"/>
          <w:color w:val="000000"/>
          <w:kern w:val="1"/>
        </w:rPr>
        <w:t>Уколико понуђач подноси понуду са подизвођачем, у складу са чланом 80.</w:t>
      </w:r>
      <w:proofErr w:type="gramEnd"/>
      <w:r w:rsidRPr="00295474">
        <w:rPr>
          <w:rFonts w:eastAsia="Arial Unicode MS"/>
          <w:color w:val="000000"/>
          <w:kern w:val="1"/>
        </w:rPr>
        <w:t xml:space="preserve"> </w:t>
      </w:r>
      <w:proofErr w:type="gramStart"/>
      <w:r w:rsidRPr="00295474">
        <w:rPr>
          <w:rFonts w:eastAsia="Arial Unicode MS"/>
          <w:color w:val="000000"/>
          <w:kern w:val="1"/>
        </w:rPr>
        <w:t>Закона, подизвођач мора да испуњава обавезне услове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1) </w:t>
      </w:r>
      <w:proofErr w:type="gramStart"/>
      <w:r w:rsidRPr="00295474">
        <w:rPr>
          <w:rFonts w:eastAsia="Arial Unicode MS"/>
          <w:color w:val="000000"/>
          <w:kern w:val="1"/>
        </w:rPr>
        <w:t>до</w:t>
      </w:r>
      <w:proofErr w:type="gramEnd"/>
      <w:r w:rsidRPr="00295474">
        <w:rPr>
          <w:rFonts w:eastAsia="Arial Unicode MS"/>
          <w:color w:val="000000"/>
          <w:kern w:val="1"/>
        </w:rPr>
        <w:t xml:space="preserve"> 4) Закона и услов из члана 75.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тачка</w:t>
      </w:r>
      <w:proofErr w:type="gramEnd"/>
      <w:r w:rsidRPr="00295474">
        <w:rPr>
          <w:rFonts w:eastAsia="Arial Unicode MS"/>
          <w:color w:val="000000"/>
          <w:kern w:val="1"/>
        </w:rPr>
        <w:t xml:space="preserve"> 5) Закона, за део набавке који ће понуђач извршити преко подизвођача.</w:t>
      </w:r>
    </w:p>
    <w:p w:rsidR="00B40A11" w:rsidRPr="00295474" w:rsidRDefault="00B40A11" w:rsidP="00B40A11">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 </w:t>
      </w:r>
    </w:p>
    <w:p w:rsidR="00B40A11" w:rsidRPr="00295474" w:rsidRDefault="00B40A11" w:rsidP="00B40A11">
      <w:pPr>
        <w:spacing w:line="100" w:lineRule="atLeast"/>
        <w:rPr>
          <w:rFonts w:eastAsia="Arial Unicode MS"/>
          <w:b/>
          <w:i/>
          <w:color w:val="000000"/>
          <w:kern w:val="1"/>
        </w:rPr>
      </w:pPr>
      <w:r w:rsidRPr="00295474">
        <w:rPr>
          <w:rFonts w:eastAsia="Arial Unicode MS"/>
          <w:b/>
          <w:i/>
          <w:color w:val="000000"/>
          <w:kern w:val="1"/>
        </w:rPr>
        <w:t>1.4.</w:t>
      </w:r>
      <w:r>
        <w:rPr>
          <w:rFonts w:eastAsia="Arial Unicode MS"/>
          <w:b/>
          <w:i/>
          <w:color w:val="000000"/>
          <w:kern w:val="1"/>
        </w:rPr>
        <w:t xml:space="preserve">ОБАВЕЗНИ И ДОДАТНИ </w:t>
      </w:r>
      <w:proofErr w:type="gramStart"/>
      <w:r>
        <w:rPr>
          <w:rFonts w:eastAsia="Arial Unicode MS"/>
          <w:b/>
          <w:i/>
          <w:color w:val="000000"/>
          <w:kern w:val="1"/>
        </w:rPr>
        <w:t xml:space="preserve">УСЛОВИ </w:t>
      </w:r>
      <w:r w:rsidRPr="00295474">
        <w:rPr>
          <w:rFonts w:eastAsia="Arial Unicode MS"/>
          <w:b/>
          <w:i/>
          <w:color w:val="000000"/>
          <w:kern w:val="1"/>
        </w:rPr>
        <w:t xml:space="preserve"> ЗА</w:t>
      </w:r>
      <w:proofErr w:type="gramEnd"/>
      <w:r w:rsidRPr="00295474">
        <w:rPr>
          <w:rFonts w:eastAsia="Arial Unicode MS"/>
          <w:b/>
          <w:i/>
          <w:color w:val="000000"/>
          <w:kern w:val="1"/>
        </w:rPr>
        <w:t xml:space="preserve"> ГРУПУ ПОНУЂАЧА</w:t>
      </w:r>
    </w:p>
    <w:p w:rsidR="00B40A11" w:rsidRPr="00295474" w:rsidRDefault="00B40A11" w:rsidP="00B40A11">
      <w:pPr>
        <w:spacing w:line="100" w:lineRule="atLeast"/>
        <w:ind w:firstLine="708"/>
        <w:rPr>
          <w:rFonts w:eastAsia="Arial Unicode MS"/>
          <w:color w:val="000000"/>
          <w:kern w:val="1"/>
        </w:rPr>
      </w:pPr>
      <w:proofErr w:type="gramStart"/>
      <w:r w:rsidRPr="00295474">
        <w:rPr>
          <w:rFonts w:eastAsia="Arial Unicode MS"/>
          <w:color w:val="000000"/>
          <w:kern w:val="1"/>
        </w:rPr>
        <w:t>Уколико понуду подноси група понуђача, сваки понуђач из групе понуђача, мора да испуни обавезне услове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1) </w:t>
      </w:r>
      <w:proofErr w:type="gramStart"/>
      <w:r w:rsidRPr="00295474">
        <w:rPr>
          <w:rFonts w:eastAsia="Arial Unicode MS"/>
          <w:color w:val="000000"/>
          <w:kern w:val="1"/>
        </w:rPr>
        <w:t>до</w:t>
      </w:r>
      <w:proofErr w:type="gramEnd"/>
      <w:r w:rsidRPr="00295474">
        <w:rPr>
          <w:rFonts w:eastAsia="Arial Unicode MS"/>
          <w:color w:val="000000"/>
          <w:kern w:val="1"/>
        </w:rPr>
        <w:t xml:space="preserve"> 4) Закона, а додатне услове испуњавају заједно. </w:t>
      </w:r>
    </w:p>
    <w:p w:rsidR="00B40A11" w:rsidRPr="00295474" w:rsidRDefault="00B40A11" w:rsidP="00B40A11">
      <w:pPr>
        <w:spacing w:line="100" w:lineRule="atLeast"/>
        <w:ind w:left="720"/>
        <w:jc w:val="both"/>
        <w:rPr>
          <w:rFonts w:eastAsia="Arial Unicode MS"/>
          <w:color w:val="000000"/>
          <w:kern w:val="1"/>
        </w:rPr>
      </w:pPr>
      <w:proofErr w:type="gramStart"/>
      <w:r w:rsidRPr="00295474">
        <w:rPr>
          <w:rFonts w:eastAsia="Arial Unicode MS"/>
          <w:color w:val="000000"/>
          <w:kern w:val="1"/>
        </w:rPr>
        <w:t>Услов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5) Закона, дужан је да испуни понуђач из групе </w:t>
      </w:r>
    </w:p>
    <w:p w:rsidR="00B40A11" w:rsidRDefault="00B40A11" w:rsidP="00B40A11">
      <w:pPr>
        <w:spacing w:line="100" w:lineRule="atLeast"/>
        <w:jc w:val="both"/>
        <w:rPr>
          <w:rFonts w:eastAsia="Arial Unicode MS"/>
          <w:color w:val="000000"/>
          <w:kern w:val="1"/>
        </w:rPr>
      </w:pPr>
      <w:proofErr w:type="gramStart"/>
      <w:r w:rsidRPr="00295474">
        <w:rPr>
          <w:rFonts w:eastAsia="Arial Unicode MS"/>
          <w:color w:val="000000"/>
          <w:kern w:val="1"/>
        </w:rPr>
        <w:t>понуђача</w:t>
      </w:r>
      <w:proofErr w:type="gramEnd"/>
      <w:r w:rsidRPr="00295474">
        <w:rPr>
          <w:rFonts w:eastAsia="Arial Unicode MS"/>
          <w:color w:val="000000"/>
          <w:kern w:val="1"/>
        </w:rPr>
        <w:t xml:space="preserve"> којем је поверено извршење дела набавке за који је неопходна испуњеност тог услова.</w:t>
      </w:r>
    </w:p>
    <w:p w:rsidR="008A235D" w:rsidRPr="008A235D" w:rsidRDefault="008A235D" w:rsidP="00B40A11">
      <w:pPr>
        <w:spacing w:line="100" w:lineRule="atLeast"/>
        <w:jc w:val="both"/>
        <w:rPr>
          <w:rFonts w:eastAsia="Arial Unicode MS"/>
          <w:color w:val="000000"/>
          <w:kern w:val="1"/>
        </w:rPr>
      </w:pPr>
    </w:p>
    <w:p w:rsidR="00B40A11" w:rsidRDefault="00B40A11" w:rsidP="00B40A11">
      <w:pPr>
        <w:spacing w:line="100" w:lineRule="atLeast"/>
        <w:jc w:val="both"/>
        <w:rPr>
          <w:b/>
          <w:lang w:val="sr-Cyrl-CS"/>
        </w:rPr>
      </w:pPr>
    </w:p>
    <w:p w:rsidR="00B40A11" w:rsidRPr="00E046D7" w:rsidRDefault="00B40A11" w:rsidP="00B40A11">
      <w:pPr>
        <w:pStyle w:val="nabrajanjebold"/>
        <w:numPr>
          <w:ilvl w:val="0"/>
          <w:numId w:val="25"/>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B40A11" w:rsidRPr="00295474" w:rsidRDefault="00B40A11" w:rsidP="00B40A11">
      <w:pPr>
        <w:jc w:val="both"/>
        <w:rPr>
          <w:rFonts w:ascii="Arial" w:hAnsi="Arial" w:cs="Arial"/>
          <w:bCs/>
          <w:i/>
          <w:iCs/>
          <w:color w:val="C00000"/>
          <w:sz w:val="20"/>
        </w:rPr>
      </w:pPr>
    </w:p>
    <w:p w:rsidR="00B40A11" w:rsidRPr="00295474" w:rsidRDefault="00B40A11" w:rsidP="00B40A11">
      <w:pPr>
        <w:spacing w:line="100" w:lineRule="atLeast"/>
        <w:ind w:firstLine="720"/>
        <w:jc w:val="both"/>
        <w:rPr>
          <w:rFonts w:eastAsia="Arial Unicode MS"/>
          <w:color w:val="000000"/>
          <w:kern w:val="1"/>
        </w:rPr>
      </w:pPr>
      <w:r>
        <w:rPr>
          <w:rFonts w:eastAsia="Arial Unicode MS"/>
          <w:color w:val="000000"/>
          <w:kern w:val="1"/>
        </w:rPr>
        <w:t xml:space="preserve">    </w:t>
      </w: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B40A11" w:rsidRPr="00295474" w:rsidRDefault="00B40A11" w:rsidP="00B40A11">
      <w:pPr>
        <w:spacing w:line="100" w:lineRule="atLeast"/>
        <w:ind w:firstLine="720"/>
        <w:jc w:val="both"/>
        <w:rPr>
          <w:rFonts w:eastAsia="Arial Unicode MS"/>
          <w:iCs/>
          <w:color w:val="000000"/>
          <w:kern w:val="1"/>
        </w:rPr>
      </w:pPr>
      <w:r>
        <w:rPr>
          <w:rFonts w:eastAsia="Arial Unicode MS"/>
          <w:iCs/>
          <w:color w:val="000000"/>
          <w:kern w:val="1"/>
        </w:rPr>
        <w:t xml:space="preserve">    </w:t>
      </w:r>
      <w:proofErr w:type="gramStart"/>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w:t>
      </w:r>
      <w:proofErr w:type="gramEnd"/>
      <w:r w:rsidRPr="00295474">
        <w:rPr>
          <w:rFonts w:eastAsia="Arial Unicode MS"/>
          <w:iCs/>
          <w:color w:val="000000"/>
          <w:kern w:val="1"/>
        </w:rPr>
        <w:t xml:space="preserve"> </w:t>
      </w:r>
      <w:proofErr w:type="gramStart"/>
      <w:r w:rsidRPr="00295474">
        <w:rPr>
          <w:rFonts w:eastAsia="Arial Unicode MS"/>
          <w:iCs/>
          <w:color w:val="000000"/>
          <w:kern w:val="1"/>
        </w:rPr>
        <w:t>став</w:t>
      </w:r>
      <w:proofErr w:type="gramEnd"/>
      <w:r w:rsidRPr="00295474">
        <w:rPr>
          <w:rFonts w:eastAsia="Arial Unicode MS"/>
          <w:iCs/>
          <w:color w:val="000000"/>
          <w:kern w:val="1"/>
        </w:rPr>
        <w:t xml:space="preserve"> 1</w:t>
      </w:r>
      <w:r>
        <w:rPr>
          <w:rFonts w:eastAsia="Arial Unicode MS"/>
          <w:iCs/>
          <w:color w:val="000000"/>
          <w:kern w:val="1"/>
        </w:rPr>
        <w:t xml:space="preserve">. </w:t>
      </w:r>
      <w:proofErr w:type="gramStart"/>
      <w:r>
        <w:rPr>
          <w:rFonts w:eastAsia="Arial Unicode MS"/>
          <w:iCs/>
          <w:color w:val="000000"/>
          <w:kern w:val="1"/>
        </w:rPr>
        <w:t>tач</w:t>
      </w:r>
      <w:proofErr w:type="gramEnd"/>
      <w:r>
        <w:rPr>
          <w:rFonts w:eastAsia="Arial Unicode MS"/>
          <w:iCs/>
          <w:color w:val="000000"/>
          <w:kern w:val="1"/>
        </w:rPr>
        <w:t xml:space="preserve">. </w:t>
      </w:r>
      <w:proofErr w:type="gramStart"/>
      <w:r>
        <w:rPr>
          <w:rFonts w:eastAsia="Arial Unicode MS"/>
          <w:iCs/>
          <w:color w:val="000000"/>
          <w:kern w:val="1"/>
        </w:rPr>
        <w:t>од</w:t>
      </w:r>
      <w:proofErr w:type="gramEnd"/>
      <w:r>
        <w:rPr>
          <w:rFonts w:eastAsia="Arial Unicode MS"/>
          <w:iCs/>
          <w:color w:val="000000"/>
          <w:kern w:val="1"/>
        </w:rPr>
        <w:t xml:space="preserve"> 1) – 4). ЗЈН-а понуђач</w:t>
      </w:r>
      <w:proofErr w:type="gramStart"/>
      <w:r>
        <w:rPr>
          <w:rFonts w:eastAsia="Arial Unicode MS"/>
          <w:iCs/>
          <w:color w:val="000000"/>
          <w:kern w:val="1"/>
        </w:rPr>
        <w:t xml:space="preserve">, </w:t>
      </w:r>
      <w:r w:rsidRPr="00295474">
        <w:rPr>
          <w:rFonts w:eastAsia="Arial Unicode MS"/>
          <w:iCs/>
          <w:color w:val="000000"/>
          <w:kern w:val="1"/>
        </w:rPr>
        <w:t xml:space="preserve"> доказује</w:t>
      </w:r>
      <w:proofErr w:type="gramEnd"/>
      <w:r w:rsidRPr="00295474">
        <w:rPr>
          <w:rFonts w:eastAsia="Arial Unicode MS"/>
          <w:iCs/>
          <w:color w:val="000000"/>
          <w:kern w:val="1"/>
        </w:rPr>
        <w:t xml:space="preserve"> писаном изјавом датом под пуном материјалном и кривичном одговорношћу. </w:t>
      </w:r>
      <w:proofErr w:type="gramStart"/>
      <w:r w:rsidRPr="00295474">
        <w:rPr>
          <w:rFonts w:eastAsia="Arial Unicode MS"/>
          <w:iCs/>
          <w:color w:val="000000"/>
          <w:kern w:val="1"/>
        </w:rPr>
        <w:t>Образац изјаве је саставни елемент конкур</w:t>
      </w:r>
      <w:r>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w:t>
      </w:r>
      <w:proofErr w:type="gramEnd"/>
      <w:r w:rsidRPr="00295474">
        <w:rPr>
          <w:rFonts w:eastAsia="Arial Unicode MS"/>
          <w:iCs/>
          <w:color w:val="000000"/>
          <w:kern w:val="1"/>
        </w:rPr>
        <w:t xml:space="preserve"> Уколико понуђач подноси понуду са подизвођачем, Образац изјаве подизвођача о испуњавању услова </w:t>
      </w:r>
      <w:r w:rsidRPr="00A34374">
        <w:rPr>
          <w:rFonts w:eastAsia="Arial Unicode MS"/>
          <w:iCs/>
          <w:kern w:val="1"/>
        </w:rPr>
        <w:t>(</w:t>
      </w:r>
      <w:r>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који је саставни део конкурсне документације</w:t>
      </w:r>
      <w:proofErr w:type="gramStart"/>
      <w:r w:rsidRPr="00295474">
        <w:rPr>
          <w:rFonts w:eastAsia="Arial Unicode MS"/>
          <w:iCs/>
          <w:color w:val="000000"/>
          <w:kern w:val="1"/>
        </w:rPr>
        <w:t>,  који</w:t>
      </w:r>
      <w:proofErr w:type="gramEnd"/>
      <w:r w:rsidRPr="00295474">
        <w:rPr>
          <w:rFonts w:eastAsia="Arial Unicode MS"/>
          <w:iCs/>
          <w:color w:val="000000"/>
          <w:kern w:val="1"/>
        </w:rPr>
        <w:t xml:space="preserve"> мора бити потписан од стране овоашћеног ли</w:t>
      </w:r>
      <w:r>
        <w:rPr>
          <w:rFonts w:eastAsia="Arial Unicode MS"/>
          <w:iCs/>
          <w:color w:val="000000"/>
          <w:kern w:val="1"/>
        </w:rPr>
        <w:t>ца подизвођача.</w:t>
      </w:r>
      <w:r w:rsidRPr="00295474">
        <w:rPr>
          <w:rFonts w:eastAsia="Arial Unicode MS"/>
          <w:iCs/>
          <w:color w:val="000000"/>
          <w:kern w:val="1"/>
        </w:rPr>
        <w:t xml:space="preserve">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w:t>
      </w:r>
      <w:proofErr w:type="gramStart"/>
      <w:r w:rsidRPr="00295474">
        <w:rPr>
          <w:rFonts w:eastAsia="Arial Unicode MS"/>
          <w:iCs/>
          <w:color w:val="000000"/>
          <w:kern w:val="1"/>
        </w:rPr>
        <w:t>( Поглавље</w:t>
      </w:r>
      <w:proofErr w:type="gramEnd"/>
      <w:r w:rsidRPr="00295474">
        <w:rPr>
          <w:rFonts w:eastAsia="Arial Unicode MS"/>
          <w:iCs/>
          <w:color w:val="000000"/>
          <w:kern w:val="1"/>
        </w:rPr>
        <w:t xml:space="preserve">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мора бити потписан од стране овлашћеног лица сваког понуђача из</w:t>
      </w:r>
      <w:r>
        <w:rPr>
          <w:rFonts w:eastAsia="Arial Unicode MS"/>
          <w:iCs/>
          <w:color w:val="000000"/>
          <w:kern w:val="1"/>
        </w:rPr>
        <w:t xml:space="preserve"> групе понуђача</w:t>
      </w:r>
      <w:r w:rsidRPr="00295474">
        <w:rPr>
          <w:rFonts w:eastAsia="Arial Unicode MS"/>
          <w:iCs/>
          <w:color w:val="000000"/>
          <w:kern w:val="1"/>
        </w:rPr>
        <w:t xml:space="preserve">. </w:t>
      </w:r>
    </w:p>
    <w:p w:rsidR="007E47AD" w:rsidRPr="005A66E6" w:rsidRDefault="00B40A11" w:rsidP="00B40A11">
      <w:pPr>
        <w:ind w:firstLine="720"/>
        <w:jc w:val="both"/>
        <w:rPr>
          <w:iCs/>
        </w:rPr>
      </w:pPr>
      <w:r>
        <w:rPr>
          <w:rFonts w:eastAsia="Arial Unicode MS"/>
          <w:iCs/>
          <w:color w:val="000000"/>
          <w:kern w:val="1"/>
        </w:rPr>
        <w:t xml:space="preserve">      </w:t>
      </w:r>
      <w:proofErr w:type="gramStart"/>
      <w:r w:rsidRPr="00295474">
        <w:rPr>
          <w:rFonts w:eastAsia="Arial Unicode MS"/>
          <w:iCs/>
          <w:color w:val="000000"/>
          <w:kern w:val="1"/>
        </w:rPr>
        <w:t xml:space="preserve">Испуњеност </w:t>
      </w:r>
      <w:r>
        <w:rPr>
          <w:rFonts w:eastAsia="Arial Unicode MS"/>
          <w:iCs/>
          <w:color w:val="000000"/>
          <w:kern w:val="1"/>
        </w:rPr>
        <w:t xml:space="preserve">  </w:t>
      </w:r>
      <w:r w:rsidRPr="00295474">
        <w:rPr>
          <w:rFonts w:eastAsia="Arial Unicode MS"/>
          <w:iCs/>
          <w:color w:val="000000"/>
          <w:kern w:val="1"/>
        </w:rPr>
        <w:t>у</w:t>
      </w:r>
      <w:r w:rsidRPr="00295474">
        <w:rPr>
          <w:rFonts w:eastAsia="Arial Unicode MS"/>
          <w:iCs/>
          <w:color w:val="000000"/>
          <w:kern w:val="1"/>
          <w:lang w:val="sr-Cyrl-CS"/>
        </w:rPr>
        <w:t>слов</w:t>
      </w:r>
      <w:r w:rsidRPr="00295474">
        <w:rPr>
          <w:rFonts w:eastAsia="Arial Unicode MS"/>
          <w:iCs/>
          <w:color w:val="000000"/>
          <w:kern w:val="1"/>
        </w:rPr>
        <w:t>а</w:t>
      </w:r>
      <w:r>
        <w:rPr>
          <w:rFonts w:eastAsia="Arial Unicode MS"/>
          <w:iCs/>
          <w:color w:val="000000"/>
          <w:kern w:val="1"/>
        </w:rPr>
        <w:t xml:space="preserve">  </w:t>
      </w:r>
      <w:r w:rsidRPr="00295474">
        <w:rPr>
          <w:rFonts w:eastAsia="Arial Unicode MS"/>
          <w:iCs/>
          <w:color w:val="000000"/>
          <w:kern w:val="1"/>
          <w:lang w:val="sr-Cyrl-CS"/>
        </w:rPr>
        <w:t xml:space="preserve"> из</w:t>
      </w:r>
      <w:r>
        <w:rPr>
          <w:rFonts w:eastAsia="Arial Unicode MS"/>
          <w:iCs/>
          <w:color w:val="000000"/>
          <w:kern w:val="1"/>
          <w:lang w:val="sr-Cyrl-CS"/>
        </w:rPr>
        <w:t xml:space="preserve">  </w:t>
      </w:r>
      <w:r w:rsidRPr="00295474">
        <w:rPr>
          <w:rFonts w:eastAsia="Arial Unicode MS"/>
          <w:iCs/>
          <w:color w:val="000000"/>
          <w:kern w:val="1"/>
          <w:lang w:val="sr-Cyrl-CS"/>
        </w:rPr>
        <w:t xml:space="preserve"> чл.</w:t>
      </w:r>
      <w:proofErr w:type="gramEnd"/>
      <w:r w:rsidRPr="00295474">
        <w:rPr>
          <w:rFonts w:eastAsia="Arial Unicode MS"/>
          <w:iCs/>
          <w:color w:val="000000"/>
          <w:kern w:val="1"/>
          <w:lang w:val="sr-Cyrl-CS"/>
        </w:rPr>
        <w:t xml:space="preserve"> 75. став  2. </w:t>
      </w:r>
      <w:r>
        <w:rPr>
          <w:rFonts w:eastAsia="Arial Unicode MS"/>
          <w:iCs/>
          <w:color w:val="000000"/>
          <w:kern w:val="1"/>
          <w:lang w:val="sr-Cyrl-CS"/>
        </w:rPr>
        <w:t xml:space="preserve"> </w:t>
      </w:r>
      <w:r w:rsidRPr="00295474">
        <w:rPr>
          <w:rFonts w:eastAsia="Arial Unicode MS"/>
          <w:iCs/>
          <w:color w:val="000000"/>
          <w:kern w:val="1"/>
          <w:lang w:val="sr-Cyrl-CS"/>
        </w:rPr>
        <w:t>Закона</w:t>
      </w:r>
      <w:r w:rsidRPr="00295474">
        <w:rPr>
          <w:rFonts w:eastAsia="Arial Unicode MS"/>
          <w:iCs/>
          <w:color w:val="000000"/>
          <w:kern w:val="1"/>
        </w:rPr>
        <w:t xml:space="preserve">, </w:t>
      </w:r>
      <w:r>
        <w:rPr>
          <w:rFonts w:eastAsia="Arial Unicode MS"/>
          <w:iCs/>
          <w:color w:val="000000"/>
          <w:kern w:val="1"/>
        </w:rPr>
        <w:t xml:space="preserve">  </w:t>
      </w:r>
      <w:r w:rsidRPr="00295474">
        <w:rPr>
          <w:rFonts w:eastAsia="Arial Unicode MS"/>
          <w:iCs/>
          <w:color w:val="000000"/>
          <w:kern w:val="1"/>
        </w:rPr>
        <w:t xml:space="preserve">понуђач </w:t>
      </w:r>
      <w:r>
        <w:rPr>
          <w:rFonts w:eastAsia="Arial Unicode MS"/>
          <w:iCs/>
          <w:color w:val="000000"/>
          <w:kern w:val="1"/>
        </w:rPr>
        <w:t xml:space="preserve"> </w:t>
      </w:r>
      <w:r w:rsidRPr="00295474">
        <w:rPr>
          <w:rFonts w:eastAsia="Arial Unicode MS"/>
          <w:iCs/>
          <w:color w:val="000000"/>
          <w:kern w:val="1"/>
        </w:rPr>
        <w:t xml:space="preserve">доказује </w:t>
      </w:r>
      <w:r>
        <w:rPr>
          <w:rFonts w:eastAsia="Arial Unicode MS"/>
          <w:iCs/>
          <w:color w:val="000000"/>
          <w:kern w:val="1"/>
        </w:rPr>
        <w:t xml:space="preserve"> </w:t>
      </w:r>
      <w:r w:rsidRPr="00295474">
        <w:rPr>
          <w:rFonts w:eastAsia="Arial Unicode MS"/>
          <w:iCs/>
          <w:color w:val="000000"/>
          <w:kern w:val="1"/>
        </w:rPr>
        <w:t>достављањем</w:t>
      </w:r>
      <w:r>
        <w:rPr>
          <w:rFonts w:eastAsia="Arial Unicode MS"/>
          <w:iCs/>
          <w:color w:val="000000"/>
          <w:kern w:val="1"/>
        </w:rPr>
        <w:t xml:space="preserve"> </w:t>
      </w:r>
      <w:r w:rsidRPr="00295474">
        <w:rPr>
          <w:rFonts w:eastAsia="Arial Unicode MS"/>
          <w:iCs/>
          <w:color w:val="000000"/>
          <w:kern w:val="1"/>
        </w:rPr>
        <w:t xml:space="preserve"> </w:t>
      </w:r>
      <w:r w:rsidRPr="00295474">
        <w:rPr>
          <w:iCs/>
        </w:rPr>
        <w:t>потписане и оверене</w:t>
      </w:r>
      <w:r>
        <w:rPr>
          <w:iCs/>
        </w:rPr>
        <w:t xml:space="preserve"> </w:t>
      </w:r>
      <w:r w:rsidRPr="00295474">
        <w:rPr>
          <w:iCs/>
        </w:rPr>
        <w:t xml:space="preserve"> Изјаве</w:t>
      </w:r>
      <w:r>
        <w:rPr>
          <w:iCs/>
        </w:rPr>
        <w:t xml:space="preserve">  </w:t>
      </w:r>
      <w:r w:rsidRPr="00295474">
        <w:rPr>
          <w:iCs/>
        </w:rPr>
        <w:t>о</w:t>
      </w:r>
      <w:r>
        <w:rPr>
          <w:iCs/>
        </w:rPr>
        <w:t xml:space="preserve"> </w:t>
      </w:r>
      <w:r w:rsidRPr="00295474">
        <w:rPr>
          <w:iCs/>
        </w:rPr>
        <w:t xml:space="preserve"> поштовању</w:t>
      </w:r>
      <w:r>
        <w:rPr>
          <w:iCs/>
        </w:rPr>
        <w:t xml:space="preserve"> </w:t>
      </w:r>
      <w:r w:rsidRPr="00295474">
        <w:rPr>
          <w:iCs/>
        </w:rPr>
        <w:t xml:space="preserve"> обавеза </w:t>
      </w:r>
      <w:r>
        <w:rPr>
          <w:iCs/>
        </w:rPr>
        <w:t xml:space="preserve"> </w:t>
      </w:r>
      <w:r w:rsidRPr="00295474">
        <w:rPr>
          <w:iCs/>
        </w:rPr>
        <w:t>које</w:t>
      </w:r>
      <w:r>
        <w:rPr>
          <w:iCs/>
        </w:rPr>
        <w:t xml:space="preserve"> </w:t>
      </w:r>
      <w:r w:rsidRPr="00295474">
        <w:rPr>
          <w:iCs/>
        </w:rPr>
        <w:t xml:space="preserve"> произлазе </w:t>
      </w:r>
      <w:r>
        <w:rPr>
          <w:iCs/>
        </w:rPr>
        <w:t xml:space="preserve"> </w:t>
      </w:r>
      <w:r w:rsidRPr="00295474">
        <w:rPr>
          <w:iCs/>
        </w:rPr>
        <w:t>из</w:t>
      </w:r>
      <w:r>
        <w:rPr>
          <w:iCs/>
        </w:rPr>
        <w:t xml:space="preserve">  </w:t>
      </w:r>
      <w:r w:rsidRPr="00295474">
        <w:rPr>
          <w:iCs/>
        </w:rPr>
        <w:t>важећих</w:t>
      </w:r>
      <w:r>
        <w:rPr>
          <w:iCs/>
        </w:rPr>
        <w:t xml:space="preserve"> </w:t>
      </w:r>
      <w:r w:rsidRPr="00295474">
        <w:rPr>
          <w:iCs/>
        </w:rPr>
        <w:t xml:space="preserve"> прописа</w:t>
      </w:r>
      <w:r>
        <w:rPr>
          <w:iCs/>
        </w:rPr>
        <w:t xml:space="preserve"> </w:t>
      </w:r>
      <w:r w:rsidRPr="00295474">
        <w:rPr>
          <w:iCs/>
        </w:rPr>
        <w:t xml:space="preserve"> о </w:t>
      </w:r>
      <w:r>
        <w:rPr>
          <w:iCs/>
        </w:rPr>
        <w:t xml:space="preserve"> </w:t>
      </w:r>
      <w:r w:rsidRPr="00295474">
        <w:rPr>
          <w:iCs/>
        </w:rPr>
        <w:t>заштити</w:t>
      </w:r>
      <w:r>
        <w:rPr>
          <w:iCs/>
        </w:rPr>
        <w:t xml:space="preserve"> </w:t>
      </w:r>
      <w:r w:rsidRPr="00295474">
        <w:rPr>
          <w:iCs/>
        </w:rPr>
        <w:t xml:space="preserve"> на</w:t>
      </w:r>
      <w:r>
        <w:rPr>
          <w:iCs/>
        </w:rPr>
        <w:t xml:space="preserve"> </w:t>
      </w:r>
      <w:r w:rsidRPr="00295474">
        <w:rPr>
          <w:iCs/>
        </w:rPr>
        <w:t xml:space="preserve"> раду, </w:t>
      </w:r>
      <w:r>
        <w:rPr>
          <w:iCs/>
        </w:rPr>
        <w:t xml:space="preserve"> </w:t>
      </w:r>
      <w:r w:rsidRPr="00295474">
        <w:rPr>
          <w:iCs/>
        </w:rPr>
        <w:t xml:space="preserve">запошљавању </w:t>
      </w:r>
      <w:r>
        <w:rPr>
          <w:iCs/>
        </w:rPr>
        <w:t xml:space="preserve"> </w:t>
      </w:r>
      <w:r w:rsidRPr="00295474">
        <w:rPr>
          <w:iCs/>
        </w:rPr>
        <w:t xml:space="preserve">и </w:t>
      </w:r>
      <w:r>
        <w:rPr>
          <w:iCs/>
        </w:rPr>
        <w:t xml:space="preserve">  </w:t>
      </w:r>
      <w:r w:rsidRPr="00295474">
        <w:rPr>
          <w:iCs/>
        </w:rPr>
        <w:t xml:space="preserve">условима рада, </w:t>
      </w:r>
      <w:r>
        <w:rPr>
          <w:iCs/>
        </w:rPr>
        <w:t xml:space="preserve"> </w:t>
      </w:r>
      <w:r w:rsidRPr="00295474">
        <w:rPr>
          <w:iCs/>
        </w:rPr>
        <w:t>заштити</w:t>
      </w:r>
      <w:r>
        <w:rPr>
          <w:iCs/>
        </w:rPr>
        <w:t xml:space="preserve"> </w:t>
      </w:r>
      <w:r w:rsidRPr="00295474">
        <w:rPr>
          <w:iCs/>
        </w:rPr>
        <w:t xml:space="preserve"> животне средине и непостојању забране обављања делатности </w:t>
      </w:r>
      <w:r>
        <w:rPr>
          <w:iCs/>
        </w:rPr>
        <w:t xml:space="preserve"> </w:t>
      </w:r>
      <w:r w:rsidRPr="00295474">
        <w:rPr>
          <w:iCs/>
        </w:rPr>
        <w:t>која</w:t>
      </w:r>
      <w:r>
        <w:rPr>
          <w:iCs/>
        </w:rPr>
        <w:t xml:space="preserve"> </w:t>
      </w:r>
      <w:r w:rsidRPr="00295474">
        <w:rPr>
          <w:iCs/>
        </w:rPr>
        <w:t xml:space="preserve"> је </w:t>
      </w:r>
      <w:r>
        <w:rPr>
          <w:iCs/>
        </w:rPr>
        <w:t xml:space="preserve"> </w:t>
      </w:r>
      <w:r w:rsidRPr="00295474">
        <w:rPr>
          <w:iCs/>
        </w:rPr>
        <w:t>на</w:t>
      </w:r>
      <w:r>
        <w:rPr>
          <w:iCs/>
        </w:rPr>
        <w:t xml:space="preserve"> </w:t>
      </w:r>
      <w:r w:rsidRPr="00295474">
        <w:rPr>
          <w:iCs/>
        </w:rPr>
        <w:t xml:space="preserve"> снази </w:t>
      </w:r>
      <w:r>
        <w:rPr>
          <w:iCs/>
        </w:rPr>
        <w:t xml:space="preserve"> </w:t>
      </w:r>
      <w:r w:rsidRPr="00295474">
        <w:rPr>
          <w:iCs/>
        </w:rPr>
        <w:t xml:space="preserve">у </w:t>
      </w:r>
      <w:r>
        <w:rPr>
          <w:iCs/>
        </w:rPr>
        <w:t xml:space="preserve"> </w:t>
      </w:r>
      <w:r w:rsidRPr="00295474">
        <w:rPr>
          <w:iCs/>
        </w:rPr>
        <w:t xml:space="preserve">време </w:t>
      </w:r>
      <w:r>
        <w:rPr>
          <w:iCs/>
        </w:rPr>
        <w:t xml:space="preserve"> </w:t>
      </w:r>
      <w:r w:rsidRPr="00295474">
        <w:rPr>
          <w:iCs/>
        </w:rPr>
        <w:t>подношења</w:t>
      </w:r>
      <w:r>
        <w:rPr>
          <w:iCs/>
        </w:rPr>
        <w:t xml:space="preserve"> </w:t>
      </w:r>
      <w:r w:rsidRPr="00295474">
        <w:rPr>
          <w:iCs/>
        </w:rPr>
        <w:t xml:space="preserve"> понуде, на прописаном</w:t>
      </w:r>
    </w:p>
    <w:p w:rsidR="002C6364" w:rsidRDefault="002C6364" w:rsidP="00B40A11">
      <w:pPr>
        <w:jc w:val="both"/>
      </w:pPr>
    </w:p>
    <w:p w:rsidR="002C6364" w:rsidRDefault="002C6364" w:rsidP="00B40A11">
      <w:pPr>
        <w:jc w:val="both"/>
      </w:pPr>
    </w:p>
    <w:p w:rsidR="002C6364" w:rsidRDefault="002C6364" w:rsidP="00C03BC3"/>
    <w:p w:rsidR="00E1521F" w:rsidRDefault="00E1521F" w:rsidP="00C03BC3"/>
    <w:p w:rsidR="002C6364" w:rsidRDefault="002C6364" w:rsidP="00C03BC3"/>
    <w:p w:rsidR="002C6364" w:rsidRDefault="002C6364" w:rsidP="00C03BC3"/>
    <w:p w:rsidR="00B26183" w:rsidRPr="00E1521F" w:rsidRDefault="00E1521F" w:rsidP="00C03BC3">
      <w:r>
        <w:rPr>
          <w:iCs/>
        </w:rPr>
        <w:t xml:space="preserve">          </w:t>
      </w:r>
      <w:r w:rsidR="008A235D">
        <w:rPr>
          <w:iCs/>
        </w:rPr>
        <w:t xml:space="preserve"> </w:t>
      </w:r>
      <w:r w:rsidR="008A235D" w:rsidRPr="005A66E6">
        <w:rPr>
          <w:iCs/>
        </w:rPr>
        <w:t>Конкурсна документација у поступку јавне набавке мале вредности, ЈН 3/2020</w:t>
      </w:r>
      <w:r w:rsidR="008040CF">
        <w:t xml:space="preserve"> </w:t>
      </w:r>
      <w:r>
        <w:t xml:space="preserve">         7/38</w:t>
      </w:r>
      <w:r w:rsidR="008040CF">
        <w:t xml:space="preserve">                                              </w:t>
      </w:r>
      <w:r w:rsidR="002C6364">
        <w:t xml:space="preserve">                                                                                                                       </w:t>
      </w:r>
      <w:r w:rsidR="008F6517">
        <w:t xml:space="preserve">                                                 </w:t>
      </w:r>
      <w:r w:rsidR="008F6517">
        <w:tab/>
      </w:r>
      <w:r w:rsidR="008F6517">
        <w:tab/>
      </w:r>
      <w:r w:rsidR="008F6517">
        <w:tab/>
      </w:r>
      <w:r w:rsidR="008F6517">
        <w:tab/>
      </w:r>
      <w:r w:rsidR="008F6517">
        <w:tab/>
      </w:r>
      <w:r w:rsidR="008F6517">
        <w:tab/>
      </w:r>
      <w:r w:rsidR="008F6517">
        <w:tab/>
      </w:r>
      <w:r w:rsidR="008F6517">
        <w:tab/>
      </w:r>
      <w:r w:rsidR="008F6517">
        <w:tab/>
      </w:r>
      <w:r w:rsidR="008F6517">
        <w:tab/>
      </w:r>
    </w:p>
    <w:sectPr w:rsidR="00B26183" w:rsidRPr="00E1521F" w:rsidSect="002C6364">
      <w:pgSz w:w="11907" w:h="16839" w:code="9"/>
      <w:pgMar w:top="1152" w:right="72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2C" w:rsidRDefault="0037492C" w:rsidP="006970E0">
      <w:r>
        <w:separator/>
      </w:r>
    </w:p>
  </w:endnote>
  <w:endnote w:type="continuationSeparator" w:id="0">
    <w:p w:rsidR="0037492C" w:rsidRDefault="0037492C" w:rsidP="006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2C" w:rsidRDefault="0037492C" w:rsidP="006970E0">
      <w:r>
        <w:separator/>
      </w:r>
    </w:p>
  </w:footnote>
  <w:footnote w:type="continuationSeparator" w:id="0">
    <w:p w:rsidR="0037492C" w:rsidRDefault="0037492C" w:rsidP="0069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4">
    <w:nsid w:val="00000010"/>
    <w:multiLevelType w:val="singleLevel"/>
    <w:tmpl w:val="00000010"/>
    <w:name w:val="WW8Num16"/>
    <w:lvl w:ilvl="0">
      <w:start w:val="1"/>
      <w:numFmt w:val="decimal"/>
      <w:lvlText w:val="%1."/>
      <w:lvlJc w:val="left"/>
      <w:pPr>
        <w:tabs>
          <w:tab w:val="num" w:pos="0"/>
        </w:tabs>
        <w:ind w:left="720" w:hanging="360"/>
      </w:p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7">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8">
    <w:nsid w:val="0F293FE6"/>
    <w:multiLevelType w:val="hybridMultilevel"/>
    <w:tmpl w:val="1CCE6EB2"/>
    <w:lvl w:ilvl="0" w:tplc="0BBC7DBC">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nsid w:val="31C57D72"/>
    <w:multiLevelType w:val="hybridMultilevel"/>
    <w:tmpl w:val="B3E877CA"/>
    <w:lvl w:ilvl="0" w:tplc="EFB0E6E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4A60C72"/>
    <w:multiLevelType w:val="hybridMultilevel"/>
    <w:tmpl w:val="2EC00156"/>
    <w:lvl w:ilvl="0" w:tplc="8A18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0768C"/>
    <w:multiLevelType w:val="hybridMultilevel"/>
    <w:tmpl w:val="B862FC94"/>
    <w:lvl w:ilvl="0" w:tplc="0576D3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B0CE3"/>
    <w:multiLevelType w:val="hybridMultilevel"/>
    <w:tmpl w:val="BBD0A616"/>
    <w:lvl w:ilvl="0" w:tplc="2CC0354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1">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0509C0"/>
    <w:multiLevelType w:val="hybridMultilevel"/>
    <w:tmpl w:val="554831AC"/>
    <w:lvl w:ilvl="0" w:tplc="3268401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5A15"/>
    <w:multiLevelType w:val="hybridMultilevel"/>
    <w:tmpl w:val="E5DA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2"/>
  </w:num>
  <w:num w:numId="4">
    <w:abstractNumId w:val="21"/>
  </w:num>
  <w:num w:numId="5">
    <w:abstractNumId w:val="19"/>
  </w:num>
  <w:num w:numId="6">
    <w:abstractNumId w:val="13"/>
  </w:num>
  <w:num w:numId="7">
    <w:abstractNumId w:val="16"/>
  </w:num>
  <w:num w:numId="8">
    <w:abstractNumId w:val="4"/>
  </w:num>
  <w:num w:numId="9">
    <w:abstractNumId w:val="5"/>
  </w:num>
  <w:num w:numId="10">
    <w:abstractNumId w:val="3"/>
  </w:num>
  <w:num w:numId="11">
    <w:abstractNumId w:val="7"/>
  </w:num>
  <w:num w:numId="12">
    <w:abstractNumId w:val="6"/>
  </w:num>
  <w:num w:numId="13">
    <w:abstractNumId w:val="2"/>
  </w:num>
  <w:num w:numId="14">
    <w:abstractNumId w:val="1"/>
  </w:num>
  <w:num w:numId="15">
    <w:abstractNumId w:val="24"/>
  </w:num>
  <w:num w:numId="16">
    <w:abstractNumId w:val="18"/>
  </w:num>
  <w:num w:numId="17">
    <w:abstractNumId w:val="17"/>
  </w:num>
  <w:num w:numId="18">
    <w:abstractNumId w:val="15"/>
  </w:num>
  <w:num w:numId="19">
    <w:abstractNumId w:val="8"/>
  </w:num>
  <w:num w:numId="20">
    <w:abstractNumId w:val="0"/>
  </w:num>
  <w:num w:numId="21">
    <w:abstractNumId w:val="9"/>
  </w:num>
  <w:num w:numId="22">
    <w:abstractNumId w:val="23"/>
  </w:num>
  <w:num w:numId="23">
    <w:abstractNumId w:val="14"/>
  </w:num>
  <w:num w:numId="24">
    <w:abstractNumId w:val="20"/>
  </w:num>
  <w:num w:numId="25">
    <w:abstractNumId w:val="1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2E186B"/>
    <w:rsid w:val="000143AA"/>
    <w:rsid w:val="000161A5"/>
    <w:rsid w:val="0002106F"/>
    <w:rsid w:val="0003327B"/>
    <w:rsid w:val="00054136"/>
    <w:rsid w:val="000809C7"/>
    <w:rsid w:val="00081E8D"/>
    <w:rsid w:val="000B709E"/>
    <w:rsid w:val="000E501F"/>
    <w:rsid w:val="00100E17"/>
    <w:rsid w:val="0012771E"/>
    <w:rsid w:val="00140C66"/>
    <w:rsid w:val="00140D19"/>
    <w:rsid w:val="00143020"/>
    <w:rsid w:val="00143402"/>
    <w:rsid w:val="00162DF1"/>
    <w:rsid w:val="0017266A"/>
    <w:rsid w:val="001B33D8"/>
    <w:rsid w:val="001D598B"/>
    <w:rsid w:val="001D69D8"/>
    <w:rsid w:val="001F5F55"/>
    <w:rsid w:val="00204A47"/>
    <w:rsid w:val="00222D67"/>
    <w:rsid w:val="0022543A"/>
    <w:rsid w:val="00233A7B"/>
    <w:rsid w:val="00246E47"/>
    <w:rsid w:val="00253E06"/>
    <w:rsid w:val="00264EE8"/>
    <w:rsid w:val="0027048C"/>
    <w:rsid w:val="002A2BE3"/>
    <w:rsid w:val="002B49AB"/>
    <w:rsid w:val="002C4D07"/>
    <w:rsid w:val="002C6364"/>
    <w:rsid w:val="002D1B6F"/>
    <w:rsid w:val="002E186B"/>
    <w:rsid w:val="002E1AF0"/>
    <w:rsid w:val="002E21F5"/>
    <w:rsid w:val="002E6BD8"/>
    <w:rsid w:val="00303074"/>
    <w:rsid w:val="0030612A"/>
    <w:rsid w:val="00306F4F"/>
    <w:rsid w:val="003333A0"/>
    <w:rsid w:val="003340B7"/>
    <w:rsid w:val="00341E94"/>
    <w:rsid w:val="00342CD8"/>
    <w:rsid w:val="0037161E"/>
    <w:rsid w:val="0037207F"/>
    <w:rsid w:val="00372CC3"/>
    <w:rsid w:val="0037492C"/>
    <w:rsid w:val="0038327F"/>
    <w:rsid w:val="003842E8"/>
    <w:rsid w:val="003922CA"/>
    <w:rsid w:val="00392AE0"/>
    <w:rsid w:val="003A08FF"/>
    <w:rsid w:val="003A3121"/>
    <w:rsid w:val="003B2D2C"/>
    <w:rsid w:val="003C7DC2"/>
    <w:rsid w:val="003E52CA"/>
    <w:rsid w:val="00415409"/>
    <w:rsid w:val="0041769B"/>
    <w:rsid w:val="00431177"/>
    <w:rsid w:val="004321F5"/>
    <w:rsid w:val="00464CB2"/>
    <w:rsid w:val="00492ADA"/>
    <w:rsid w:val="0049792A"/>
    <w:rsid w:val="004A535D"/>
    <w:rsid w:val="004A6A2A"/>
    <w:rsid w:val="004B1F05"/>
    <w:rsid w:val="004E673D"/>
    <w:rsid w:val="005101FD"/>
    <w:rsid w:val="00511084"/>
    <w:rsid w:val="00511BF6"/>
    <w:rsid w:val="005316EF"/>
    <w:rsid w:val="005466DF"/>
    <w:rsid w:val="00564BFF"/>
    <w:rsid w:val="00590CA0"/>
    <w:rsid w:val="005A1549"/>
    <w:rsid w:val="005A29EF"/>
    <w:rsid w:val="005A66E6"/>
    <w:rsid w:val="005B1AF3"/>
    <w:rsid w:val="005D2FC9"/>
    <w:rsid w:val="005F147C"/>
    <w:rsid w:val="006062E9"/>
    <w:rsid w:val="00610E30"/>
    <w:rsid w:val="006130AD"/>
    <w:rsid w:val="00627FF4"/>
    <w:rsid w:val="00632EEC"/>
    <w:rsid w:val="006356BC"/>
    <w:rsid w:val="00663C0D"/>
    <w:rsid w:val="00670893"/>
    <w:rsid w:val="00670FC4"/>
    <w:rsid w:val="0068345C"/>
    <w:rsid w:val="006851EE"/>
    <w:rsid w:val="006970E0"/>
    <w:rsid w:val="006B0CEC"/>
    <w:rsid w:val="006B4B42"/>
    <w:rsid w:val="006C3F02"/>
    <w:rsid w:val="006F2099"/>
    <w:rsid w:val="006F77BF"/>
    <w:rsid w:val="007007CB"/>
    <w:rsid w:val="007206CB"/>
    <w:rsid w:val="007212B9"/>
    <w:rsid w:val="00741068"/>
    <w:rsid w:val="00747593"/>
    <w:rsid w:val="00754283"/>
    <w:rsid w:val="007547AA"/>
    <w:rsid w:val="00774E08"/>
    <w:rsid w:val="00790155"/>
    <w:rsid w:val="007A72E3"/>
    <w:rsid w:val="007D67CD"/>
    <w:rsid w:val="007D7B7C"/>
    <w:rsid w:val="007E070E"/>
    <w:rsid w:val="007E47AD"/>
    <w:rsid w:val="008040CF"/>
    <w:rsid w:val="00822CA4"/>
    <w:rsid w:val="0082416C"/>
    <w:rsid w:val="00836371"/>
    <w:rsid w:val="0083642A"/>
    <w:rsid w:val="008642DD"/>
    <w:rsid w:val="00865B01"/>
    <w:rsid w:val="00877024"/>
    <w:rsid w:val="00896E4E"/>
    <w:rsid w:val="008A1393"/>
    <w:rsid w:val="008A235D"/>
    <w:rsid w:val="008C7874"/>
    <w:rsid w:val="008F6517"/>
    <w:rsid w:val="008F77DB"/>
    <w:rsid w:val="00905E5F"/>
    <w:rsid w:val="009251ED"/>
    <w:rsid w:val="009326B1"/>
    <w:rsid w:val="00945225"/>
    <w:rsid w:val="00946798"/>
    <w:rsid w:val="0094787B"/>
    <w:rsid w:val="00953CF1"/>
    <w:rsid w:val="00960A06"/>
    <w:rsid w:val="00974CF4"/>
    <w:rsid w:val="00976A68"/>
    <w:rsid w:val="0098441E"/>
    <w:rsid w:val="00990F77"/>
    <w:rsid w:val="009925AA"/>
    <w:rsid w:val="0099707F"/>
    <w:rsid w:val="009B4005"/>
    <w:rsid w:val="009C32EA"/>
    <w:rsid w:val="009C5D76"/>
    <w:rsid w:val="009C6351"/>
    <w:rsid w:val="009C6A89"/>
    <w:rsid w:val="009E0ED5"/>
    <w:rsid w:val="009F10E7"/>
    <w:rsid w:val="00A01A74"/>
    <w:rsid w:val="00A135B1"/>
    <w:rsid w:val="00A15D75"/>
    <w:rsid w:val="00A165F4"/>
    <w:rsid w:val="00A2506E"/>
    <w:rsid w:val="00A44666"/>
    <w:rsid w:val="00A60F0C"/>
    <w:rsid w:val="00A63AAD"/>
    <w:rsid w:val="00A65895"/>
    <w:rsid w:val="00A7229B"/>
    <w:rsid w:val="00A81035"/>
    <w:rsid w:val="00AA2873"/>
    <w:rsid w:val="00AB11E3"/>
    <w:rsid w:val="00AB2979"/>
    <w:rsid w:val="00AD1398"/>
    <w:rsid w:val="00AE2802"/>
    <w:rsid w:val="00B1207C"/>
    <w:rsid w:val="00B26183"/>
    <w:rsid w:val="00B330D0"/>
    <w:rsid w:val="00B4063B"/>
    <w:rsid w:val="00B40A11"/>
    <w:rsid w:val="00B43770"/>
    <w:rsid w:val="00B4611F"/>
    <w:rsid w:val="00B6496D"/>
    <w:rsid w:val="00B758EC"/>
    <w:rsid w:val="00B83069"/>
    <w:rsid w:val="00B87769"/>
    <w:rsid w:val="00BF5E05"/>
    <w:rsid w:val="00C03BC3"/>
    <w:rsid w:val="00C06BE1"/>
    <w:rsid w:val="00C06BF0"/>
    <w:rsid w:val="00C1657B"/>
    <w:rsid w:val="00C24178"/>
    <w:rsid w:val="00C35778"/>
    <w:rsid w:val="00C35C41"/>
    <w:rsid w:val="00C4136E"/>
    <w:rsid w:val="00C57A3A"/>
    <w:rsid w:val="00C65E02"/>
    <w:rsid w:val="00C660CE"/>
    <w:rsid w:val="00CC5E21"/>
    <w:rsid w:val="00CD5FCC"/>
    <w:rsid w:val="00CF36FF"/>
    <w:rsid w:val="00D65C06"/>
    <w:rsid w:val="00D74D66"/>
    <w:rsid w:val="00DA2ED8"/>
    <w:rsid w:val="00DC70A8"/>
    <w:rsid w:val="00DD1596"/>
    <w:rsid w:val="00DE0016"/>
    <w:rsid w:val="00E01EC4"/>
    <w:rsid w:val="00E122E2"/>
    <w:rsid w:val="00E1521F"/>
    <w:rsid w:val="00E23865"/>
    <w:rsid w:val="00E33231"/>
    <w:rsid w:val="00E47BAD"/>
    <w:rsid w:val="00E519EA"/>
    <w:rsid w:val="00E5368F"/>
    <w:rsid w:val="00E659C7"/>
    <w:rsid w:val="00E747CA"/>
    <w:rsid w:val="00E840AD"/>
    <w:rsid w:val="00EA3A59"/>
    <w:rsid w:val="00EF5829"/>
    <w:rsid w:val="00F02DEE"/>
    <w:rsid w:val="00F05760"/>
    <w:rsid w:val="00F637D5"/>
    <w:rsid w:val="00F64A7E"/>
    <w:rsid w:val="00F840FC"/>
    <w:rsid w:val="00F93A49"/>
    <w:rsid w:val="00FC15C1"/>
    <w:rsid w:val="00FD0893"/>
    <w:rsid w:val="00FD19FE"/>
    <w:rsid w:val="00FE525A"/>
    <w:rsid w:val="00FF00D5"/>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paragraph" w:styleId="Heading2">
    <w:name w:val="heading 2"/>
    <w:basedOn w:val="Normal"/>
    <w:next w:val="Normal"/>
    <w:link w:val="Heading2Char"/>
    <w:uiPriority w:val="9"/>
    <w:unhideWhenUsed/>
    <w:qFormat/>
    <w:rsid w:val="00741068"/>
    <w:pPr>
      <w:keepNext/>
      <w:keepLines/>
      <w:suppressAutoHyphens/>
      <w:spacing w:before="200"/>
      <w:outlineLvl w:val="1"/>
    </w:pPr>
    <w:rPr>
      <w:rFonts w:asciiTheme="majorHAnsi" w:eastAsiaTheme="majorEastAsia" w:hAnsiTheme="majorHAnsi" w:cstheme="majorBidi"/>
      <w:b/>
      <w:bCs/>
      <w:color w:val="4F81BD" w:themeColor="accent1"/>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 w:type="character" w:customStyle="1" w:styleId="ListParagraphChar">
    <w:name w:val="List Paragraph Char"/>
    <w:link w:val="ListParagraph"/>
    <w:uiPriority w:val="34"/>
    <w:locked/>
    <w:rsid w:val="005101FD"/>
  </w:style>
  <w:style w:type="paragraph" w:customStyle="1" w:styleId="nabrajanjebold">
    <w:name w:val="nabrajanje bold"/>
    <w:basedOn w:val="Normal"/>
    <w:qFormat/>
    <w:rsid w:val="005101FD"/>
    <w:rPr>
      <w:rFonts w:eastAsia="Calibri-Bold"/>
      <w:b/>
      <w:color w:val="auto"/>
      <w:lang w:val="en-GB" w:eastAsia="ar-SA"/>
    </w:rPr>
  </w:style>
  <w:style w:type="paragraph" w:customStyle="1" w:styleId="ListParagraph1">
    <w:name w:val="List Paragraph1"/>
    <w:basedOn w:val="Normal"/>
    <w:qFormat/>
    <w:rsid w:val="00632EEC"/>
    <w:pPr>
      <w:suppressAutoHyphens/>
      <w:spacing w:line="100" w:lineRule="atLeast"/>
      <w:ind w:left="720"/>
    </w:pPr>
    <w:rPr>
      <w:rFonts w:eastAsia="Arial Unicode MS"/>
      <w:color w:val="000000"/>
      <w:kern w:val="1"/>
      <w:lang w:eastAsia="ar-SA"/>
    </w:rPr>
  </w:style>
  <w:style w:type="character" w:customStyle="1" w:styleId="Heading2Char">
    <w:name w:val="Heading 2 Char"/>
    <w:basedOn w:val="DefaultParagraphFont"/>
    <w:link w:val="Heading2"/>
    <w:uiPriority w:val="9"/>
    <w:rsid w:val="00741068"/>
    <w:rPr>
      <w:rFonts w:asciiTheme="majorHAnsi" w:eastAsiaTheme="majorEastAsia" w:hAnsiTheme="majorHAnsi" w:cstheme="majorBidi"/>
      <w:b/>
      <w:bCs/>
      <w:color w:val="4F81BD" w:themeColor="accent1"/>
      <w:sz w:val="26"/>
      <w:szCs w:val="26"/>
      <w:lang w:val="en-GB" w:eastAsia="ar-SA"/>
    </w:rPr>
  </w:style>
</w:styles>
</file>

<file path=word/webSettings.xml><?xml version="1.0" encoding="utf-8"?>
<w:webSettings xmlns:r="http://schemas.openxmlformats.org/officeDocument/2006/relationships" xmlns:w="http://schemas.openxmlformats.org/wordprocessingml/2006/main">
  <w:divs>
    <w:div w:id="14446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EA4F-5E02-4BE6-A347-88863571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ANA_so</cp:lastModifiedBy>
  <cp:revision>227</cp:revision>
  <cp:lastPrinted>2017-10-20T15:35:00Z</cp:lastPrinted>
  <dcterms:created xsi:type="dcterms:W3CDTF">2016-10-25T11:10:00Z</dcterms:created>
  <dcterms:modified xsi:type="dcterms:W3CDTF">2020-01-31T13:03:00Z</dcterms:modified>
</cp:coreProperties>
</file>