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511946" w:rsidP="000061BD">
      <w:pPr>
        <w:pStyle w:val="Default"/>
        <w:ind w:right="-392"/>
        <w:rPr>
          <w:rFonts w:ascii="Times New Roman" w:hAnsi="Times New Roman"/>
          <w:b/>
          <w:bCs/>
          <w:sz w:val="28"/>
          <w:szCs w:val="28"/>
        </w:rPr>
      </w:pPr>
      <w:r>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радова на </w:t>
      </w:r>
      <w:r w:rsidR="00D1116A">
        <w:rPr>
          <w:b/>
          <w:i/>
          <w:sz w:val="40"/>
          <w:lang w:val="sr-Cyrl-CS"/>
        </w:rPr>
        <w:t>крпљењу</w:t>
      </w:r>
      <w:r w:rsidR="00506E11">
        <w:rPr>
          <w:b/>
          <w:i/>
          <w:sz w:val="40"/>
          <w:lang w:val="sr-Cyrl-CS"/>
        </w:rPr>
        <w:t xml:space="preserve"> ударних рупа на путевима</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A351C" w:rsidRDefault="00CC0D56" w:rsidP="000061BD">
      <w:pPr>
        <w:jc w:val="center"/>
        <w:rPr>
          <w:b/>
          <w:sz w:val="28"/>
          <w:lang w:val="en-US"/>
        </w:rPr>
      </w:pPr>
      <w:r>
        <w:rPr>
          <w:b/>
          <w:sz w:val="28"/>
          <w:lang w:val="sr-Cyrl-CS"/>
        </w:rPr>
        <w:t xml:space="preserve">ЈАВНА НАБАВКА број: ЈН </w:t>
      </w:r>
      <w:r>
        <w:rPr>
          <w:b/>
          <w:sz w:val="28"/>
          <w:lang w:val="en-US"/>
        </w:rPr>
        <w:t>20</w:t>
      </w:r>
      <w:r w:rsidR="000061BD" w:rsidRPr="00FC46AD">
        <w:rPr>
          <w:b/>
          <w:sz w:val="28"/>
        </w:rPr>
        <w:t>/201</w:t>
      </w:r>
      <w:r>
        <w:rPr>
          <w:b/>
          <w:sz w:val="28"/>
          <w:lang w:val="en-US"/>
        </w:rPr>
        <w:t>7</w:t>
      </w:r>
    </w:p>
    <w:p w:rsidR="000061BD" w:rsidRPr="00CC0D56" w:rsidRDefault="00BC6009" w:rsidP="000061BD">
      <w:pPr>
        <w:jc w:val="center"/>
        <w:rPr>
          <w:b/>
          <w:sz w:val="28"/>
          <w:lang w:val="en-US"/>
        </w:rPr>
      </w:pPr>
      <w:r>
        <w:rPr>
          <w:b/>
          <w:sz w:val="28"/>
          <w:lang w:val="sr-Cyrl-CS"/>
        </w:rPr>
        <w:t>404-</w:t>
      </w:r>
      <w:r w:rsidR="005A2F92">
        <w:rPr>
          <w:b/>
          <w:sz w:val="28"/>
          <w:lang w:val="sr-Cyrl-CS"/>
        </w:rPr>
        <w:t>26/2017-</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06E11">
        <w:rPr>
          <w:rFonts w:ascii="Times New Roman" w:hAnsi="Times New Roman"/>
          <w:b/>
          <w:i/>
          <w:lang w:val="sr-Cyrl-CS"/>
        </w:rPr>
        <w:t>мај</w:t>
      </w:r>
      <w:r w:rsidR="008207CB">
        <w:rPr>
          <w:rFonts w:ascii="Times New Roman" w:hAnsi="Times New Roman"/>
          <w:b/>
          <w:i/>
          <w:lang w:val="sr-Cyrl-CS"/>
        </w:rPr>
        <w:t xml:space="preserve"> </w:t>
      </w:r>
      <w:r w:rsidR="00506E11">
        <w:rPr>
          <w:rFonts w:ascii="Times New Roman" w:hAnsi="Times New Roman"/>
          <w:b/>
          <w:i/>
          <w:lang w:val="sr-Cyrl-CS"/>
        </w:rPr>
        <w:t>2017</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8B08B9">
        <w:t>26/2017-04</w:t>
      </w:r>
    </w:p>
    <w:p w:rsidR="00506E11" w:rsidRDefault="00506E11" w:rsidP="00506E11">
      <w:pPr>
        <w:ind w:left="120"/>
        <w:rPr>
          <w:sz w:val="20"/>
          <w:szCs w:val="20"/>
        </w:rPr>
      </w:pPr>
      <w:r>
        <w:t>Датум: 1</w:t>
      </w:r>
      <w:r w:rsidR="00CF7CED">
        <w:t>6</w:t>
      </w:r>
      <w:r>
        <w:t>.05.2017.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8B08B9">
        <w:t xml:space="preserve">404-26/2017-04 </w:t>
      </w:r>
      <w:r>
        <w:t>од 1</w:t>
      </w:r>
      <w:r w:rsidR="008B08B9">
        <w:t>5</w:t>
      </w:r>
      <w:r>
        <w:t xml:space="preserve">.05.2017. године и Решења о образовању Комисије за јавну набавку број </w:t>
      </w:r>
      <w:r w:rsidR="008B08B9">
        <w:t xml:space="preserve">404-26/2017-04 од 15.05.2017. </w:t>
      </w:r>
      <w:r>
        <w:t>године,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Pr="00BF2E09" w:rsidRDefault="000061BD" w:rsidP="00BF2E09">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sidR="006D07A4">
        <w:rPr>
          <w:b/>
          <w:shadow/>
          <w:lang w:val="sr-Cyrl-CS"/>
        </w:rPr>
        <w:t xml:space="preserve"> </w:t>
      </w:r>
      <w:r w:rsidR="006D07A4" w:rsidRPr="006D07A4">
        <w:rPr>
          <w:b/>
          <w:shadow/>
          <w:lang w:val="sr-Cyrl-CS"/>
        </w:rPr>
        <w:t>услуга</w:t>
      </w:r>
      <w:r w:rsidR="006D07A4" w:rsidRPr="006D07A4">
        <w:rPr>
          <w:b/>
          <w:shadow/>
        </w:rPr>
        <w:t xml:space="preserve"> </w:t>
      </w:r>
      <w:r w:rsidR="006D07A4" w:rsidRPr="006D07A4">
        <w:rPr>
          <w:b/>
          <w:shadow/>
          <w:lang w:val="sr-Cyrl-CS"/>
        </w:rPr>
        <w:t>стручног</w:t>
      </w:r>
      <w:r w:rsidR="004E7760">
        <w:rPr>
          <w:b/>
          <w:shadow/>
          <w:lang w:val="sr-Cyrl-CS"/>
        </w:rPr>
        <w:t xml:space="preserve"> надзора над извођењем радова </w:t>
      </w:r>
      <w:r w:rsidR="00BF2E09">
        <w:rPr>
          <w:b/>
          <w:shadow/>
          <w:lang w:val="sr-Cyrl-CS"/>
        </w:rPr>
        <w:t>на крпљењу ударних рупа на путевима</w:t>
      </w:r>
      <w:r w:rsidR="006D07A4" w:rsidRPr="006D07A4">
        <w:rPr>
          <w:b/>
          <w:shadow/>
          <w:lang w:val="sr-Cyrl-CS"/>
        </w:rPr>
        <w:t xml:space="preserve">, редни број ЈН </w:t>
      </w:r>
      <w:r w:rsidR="00BF2E09">
        <w:rPr>
          <w:b/>
          <w:shadow/>
        </w:rPr>
        <w:t>20</w:t>
      </w:r>
      <w:r w:rsidR="006D07A4" w:rsidRPr="006D07A4">
        <w:rPr>
          <w:b/>
          <w:shadow/>
          <w:lang w:val="sr-Cyrl-CS"/>
        </w:rPr>
        <w:t>/201</w:t>
      </w:r>
      <w:r w:rsidR="00BF2E09">
        <w:rPr>
          <w:b/>
          <w:shadow/>
          <w:lang w:val="sr-Cyrl-CS"/>
        </w:rPr>
        <w:t>7</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1</w:t>
            </w:r>
            <w:r w:rsidR="003A4D3E">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55E1D" w:rsidP="004254B9">
            <w:pPr>
              <w:snapToGrid w:val="0"/>
              <w:jc w:val="center"/>
              <w:rPr>
                <w:rFonts w:eastAsia="TimesNewRomanPSMT"/>
                <w:lang w:val="sr-Cyrl-CS"/>
              </w:rPr>
            </w:pPr>
            <w:r>
              <w:rPr>
                <w:rFonts w:eastAsia="TimesNewRomanPSMT"/>
                <w:lang w:val="sr-Cyrl-CS"/>
              </w:rPr>
              <w:t>2</w:t>
            </w:r>
            <w:r w:rsidR="003A4D3E">
              <w:rPr>
                <w:rFonts w:eastAsia="TimesNewRomanPSMT"/>
                <w:lang w:val="sr-Cyrl-CS"/>
              </w:rPr>
              <w:t>1</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3A4D3E">
              <w:rPr>
                <w:rFonts w:eastAsia="TimesNewRomanPSMT"/>
                <w:lang w:val="sr-Cyrl-C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2</w:t>
            </w:r>
            <w:r w:rsidR="003A4D3E">
              <w:rPr>
                <w:rFonts w:eastAsia="TimesNewRomanPSMT"/>
                <w:lang w:val="sr-Cyrl-CS"/>
              </w:rPr>
              <w:t>3</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3A4D3E" w:rsidP="004254B9">
            <w:pPr>
              <w:snapToGrid w:val="0"/>
              <w:jc w:val="center"/>
              <w:rPr>
                <w:rFonts w:eastAsia="TimesNewRomanPSMT"/>
                <w:lang w:val="sr-Cyrl-CS"/>
              </w:rPr>
            </w:pPr>
            <w:r>
              <w:rPr>
                <w:rFonts w:eastAsia="TimesNewRomanPSMT"/>
                <w:lang w:val="sr-Cyrl-CS"/>
              </w:rPr>
              <w:t>24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402D40" w:rsidP="004254B9">
            <w:pPr>
              <w:snapToGrid w:val="0"/>
              <w:jc w:val="center"/>
              <w:rPr>
                <w:rFonts w:eastAsia="TimesNewRomanPSMT"/>
                <w:lang w:val="sr-Cyrl-CS"/>
              </w:rPr>
            </w:pPr>
            <w:r>
              <w:rPr>
                <w:rFonts w:eastAsia="TimesNewRomanPSMT"/>
                <w:lang w:val="sr-Cyrl-CS"/>
              </w:rPr>
              <w:t>2</w:t>
            </w:r>
            <w:r w:rsidR="003A4D3E">
              <w:rPr>
                <w:rFonts w:eastAsia="TimesNewRomanPSMT"/>
                <w:lang w:val="sr-Cyrl-C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28</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3A4D3E" w:rsidP="004254B9">
            <w:pPr>
              <w:snapToGrid w:val="0"/>
              <w:jc w:val="center"/>
              <w:rPr>
                <w:rFonts w:eastAsia="TimesNewRomanPSMT"/>
                <w:lang w:val="sr-Cyrl-CS"/>
              </w:rPr>
            </w:pPr>
            <w:r>
              <w:rPr>
                <w:rFonts w:eastAsia="TimesNewRomanPSMT"/>
                <w:lang w:val="sr-Cyrl-CS"/>
              </w:rPr>
              <w:t>29</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5C096B">
        <w:rPr>
          <w:rFonts w:ascii="Times New Roman" w:hAnsi="Times New Roman"/>
          <w:b/>
          <w:i/>
          <w:color w:val="auto"/>
          <w:lang w:val="sr-Cyrl-CS"/>
        </w:rPr>
        <w:t>29</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E704E6">
      <w:pPr>
        <w:pStyle w:val="ListParagraph"/>
        <w:numPr>
          <w:ilvl w:val="0"/>
          <w:numId w:val="4"/>
        </w:numPr>
        <w:jc w:val="both"/>
        <w:rPr>
          <w:lang w:val="sr-Cyrl-CS"/>
        </w:rPr>
      </w:pPr>
      <w:r>
        <w:rPr>
          <w:lang w:val="sr-Cyrl-CS"/>
        </w:rPr>
        <w:t>Предмет јавне набавке су</w:t>
      </w:r>
      <w:r w:rsidR="006C56EA" w:rsidRPr="006C56EA">
        <w:rPr>
          <w:lang w:val="sr-Cyrl-CS"/>
        </w:rPr>
        <w:t xml:space="preserve"> </w:t>
      </w:r>
      <w:r w:rsidR="006C56EA">
        <w:rPr>
          <w:lang w:val="sr-Cyrl-CS"/>
        </w:rPr>
        <w:t>услуга</w:t>
      </w:r>
      <w:r w:rsidR="006C56EA">
        <w:t xml:space="preserve"> </w:t>
      </w:r>
      <w:r w:rsidR="006C56EA">
        <w:rPr>
          <w:lang w:val="sr-Cyrl-CS"/>
        </w:rPr>
        <w:t>стручног</w:t>
      </w:r>
      <w:r w:rsidR="00BF2E09">
        <w:rPr>
          <w:lang w:val="sr-Cyrl-CS"/>
        </w:rPr>
        <w:t xml:space="preserve"> надзора над извођењем радова </w:t>
      </w:r>
      <w:r w:rsidR="00BF2E09" w:rsidRPr="00BF2E09">
        <w:rPr>
          <w:shadow/>
          <w:lang w:val="sr-Cyrl-CS"/>
        </w:rPr>
        <w:t>на крпљењу ударних рупа на путевима</w:t>
      </w:r>
      <w:r w:rsidR="00BF2E09">
        <w:rPr>
          <w:shadow/>
          <w:lang w:val="sr-Cyrl-CS"/>
        </w:rPr>
        <w:t>.</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F2E09">
        <w:t>Ана Радојичић</w:t>
      </w:r>
      <w:r w:rsidR="00274CDC">
        <w:rPr>
          <w:lang w:val="sr-Cyrl-CS"/>
        </w:rPr>
        <w:t xml:space="preserve">, </w:t>
      </w:r>
      <w:r w:rsidR="003C2BD8">
        <w:rPr>
          <w:lang w:val="sr-Cyrl-CS"/>
        </w:rPr>
        <w:t>сарадник</w:t>
      </w:r>
      <w:r w:rsidR="00C6550E">
        <w:rPr>
          <w:lang w:val="sr-Cyrl-CS"/>
        </w:rPr>
        <w:t xml:space="preserve"> за јавне набавке,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540D7C" w:rsidRPr="00EA0CFD">
        <w:rPr>
          <w:lang w:val="sr-Cyrl-CS"/>
        </w:rPr>
        <w:t>радова</w:t>
      </w:r>
      <w:r w:rsidR="00540D7C">
        <w:rPr>
          <w:lang w:val="sr-Cyrl-CS"/>
        </w:rPr>
        <w:t xml:space="preserve"> </w:t>
      </w:r>
      <w:r w:rsidR="00BF2E09" w:rsidRPr="00BF2E09">
        <w:rPr>
          <w:shadow/>
          <w:lang w:val="sr-Cyrl-CS"/>
        </w:rPr>
        <w:t>на крпљењу ударних рупа на путевима</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2E2BDD">
      <w:pPr>
        <w:numPr>
          <w:ilvl w:val="0"/>
          <w:numId w:val="11"/>
        </w:numPr>
        <w:spacing w:after="12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455DF6">
      <w:pPr>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lang/>
              </w:rPr>
            </w:pPr>
            <w:r w:rsidRPr="005A2F92">
              <w:rPr>
                <w:b/>
                <w:lang/>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455DF6" w:rsidP="00455DF6">
            <w:pPr>
              <w:ind w:left="80"/>
              <w:rPr>
                <w:sz w:val="20"/>
                <w:szCs w:val="20"/>
              </w:rPr>
            </w:pPr>
            <w:r>
              <w:t xml:space="preserve">радова на </w:t>
            </w:r>
            <w:r w:rsidRPr="00BF2E09">
              <w:rPr>
                <w:shadow/>
                <w:lang w:val="sr-Cyrl-CS"/>
              </w:rPr>
              <w:t>на крпљењу ударних рупа на путевима</w:t>
            </w:r>
            <w:r>
              <w:t>,</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455DF6" w:rsidP="0004112B">
            <w:pPr>
              <w:jc w:val="center"/>
              <w:rPr>
                <w:sz w:val="20"/>
                <w:szCs w:val="20"/>
              </w:rPr>
            </w:pPr>
            <w:r>
              <w:t>13.072,00 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5940E3" w:rsidRPr="00EA0CFD">
        <w:rPr>
          <w:lang w:val="sr-Cyrl-CS"/>
        </w:rPr>
        <w:t>радова</w:t>
      </w:r>
      <w:r w:rsidR="005940E3">
        <w:rPr>
          <w:lang w:val="sr-Cyrl-CS"/>
        </w:rPr>
        <w:t xml:space="preserve"> </w:t>
      </w:r>
      <w:r w:rsidR="005940E3" w:rsidRPr="00BF2E09">
        <w:rPr>
          <w:shadow/>
          <w:lang w:val="sr-Cyrl-CS"/>
        </w:rPr>
        <w:t>на крпљењу ударних рупа на</w:t>
      </w:r>
      <w:r w:rsidR="007830EC">
        <w:rPr>
          <w:shadow/>
          <w:lang w:val="sr-Cyrl-CS"/>
        </w:rPr>
        <w:t xml:space="preserve"> путевима</w:t>
      </w:r>
      <w:r>
        <w:rPr>
          <w:lang w:val="sr-Cyrl-CS"/>
        </w:rPr>
        <w:t>.</w:t>
      </w:r>
      <w:r w:rsidR="00693DED">
        <w:rPr>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наредној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CF3074" w:rsidRPr="00ED1714" w:rsidRDefault="005940E3" w:rsidP="00ED1714">
            <w:pPr>
              <w:jc w:val="both"/>
              <w:rPr>
                <w:lang w:val="sr-Cyrl-CS"/>
              </w:rPr>
            </w:pPr>
            <w:r>
              <w:rPr>
                <w:lang w:val="sr-Cyrl-CS"/>
              </w:rPr>
              <w:t>Крпљење ударних рупа на путевима</w:t>
            </w:r>
          </w:p>
        </w:tc>
        <w:tc>
          <w:tcPr>
            <w:tcW w:w="3645" w:type="dxa"/>
            <w:vAlign w:val="center"/>
          </w:tcPr>
          <w:p w:rsidR="00CF3074" w:rsidRPr="00ED1714" w:rsidRDefault="005940E3" w:rsidP="00ED1714">
            <w:pPr>
              <w:jc w:val="center"/>
              <w:rPr>
                <w:lang w:val="sr-Cyrl-CS"/>
              </w:rPr>
            </w:pPr>
            <w:r>
              <w:rPr>
                <w:lang w:val="sr-Cyrl-CS"/>
              </w:rPr>
              <w:t>653.583,00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2E2BDD" w:rsidRPr="00C94794" w:rsidRDefault="002E2BDD" w:rsidP="002E2BDD">
      <w:pPr>
        <w:suppressAutoHyphens w:val="0"/>
        <w:jc w:val="both"/>
      </w:pPr>
      <w:r w:rsidRPr="002171A7">
        <w:rPr>
          <w:b/>
          <w:lang w:val="sr-Cyrl-CS"/>
        </w:rPr>
        <w:t xml:space="preserve">Улице у месту Љубовија на којима се изводе радови: </w:t>
      </w:r>
      <w:r>
        <w:t>Сокоградс</w:t>
      </w:r>
      <w:r w:rsidRPr="002171A7">
        <w:t>к</w:t>
      </w:r>
      <w:r>
        <w:t>а</w:t>
      </w:r>
      <w:r w:rsidRPr="002171A7">
        <w:t xml:space="preserve">, </w:t>
      </w:r>
      <w:r>
        <w:t>Омладинска</w:t>
      </w:r>
      <w:r w:rsidRPr="002171A7">
        <w:t xml:space="preserve">, </w:t>
      </w:r>
      <w:r>
        <w:t>Моше Пијаде</w:t>
      </w:r>
      <w:r w:rsidRPr="002171A7">
        <w:t xml:space="preserve">, </w:t>
      </w:r>
      <w:r>
        <w:t>Пионирска</w:t>
      </w:r>
      <w:r w:rsidRPr="002171A7">
        <w:t xml:space="preserve">, </w:t>
      </w:r>
      <w:r>
        <w:t>Стојана Чупића</w:t>
      </w:r>
      <w:r w:rsidRPr="002171A7">
        <w:t xml:space="preserve">, </w:t>
      </w:r>
      <w:r>
        <w:t>Светосавска</w:t>
      </w:r>
      <w:r w:rsidRPr="002171A7">
        <w:t xml:space="preserve">, </w:t>
      </w:r>
      <w:r>
        <w:t>Јована Цвијића</w:t>
      </w:r>
      <w:r w:rsidRPr="002171A7">
        <w:t xml:space="preserve">, </w:t>
      </w:r>
      <w:r>
        <w:t>Петра Сокоља</w:t>
      </w:r>
      <w:r w:rsidRPr="002171A7">
        <w:t xml:space="preserve">нина </w:t>
      </w:r>
      <w:r>
        <w:t>Карађорђев</w:t>
      </w:r>
      <w:r w:rsidRPr="002171A7">
        <w:t xml:space="preserve">а, </w:t>
      </w:r>
      <w:r>
        <w:t>В.Мишића (Д.Здравља)</w:t>
      </w:r>
      <w:r w:rsidRPr="002171A7">
        <w:t xml:space="preserve">, </w:t>
      </w:r>
      <w:r>
        <w:t>Буковичка</w:t>
      </w:r>
      <w:r w:rsidRPr="002171A7">
        <w:t>,</w:t>
      </w:r>
      <w:r>
        <w:t xml:space="preserve"> Радничка,</w:t>
      </w:r>
      <w:r w:rsidRPr="002171A7">
        <w:t xml:space="preserve"> </w:t>
      </w:r>
      <w:r>
        <w:t>Ђуре Јакшића</w:t>
      </w:r>
      <w:r w:rsidRPr="002171A7">
        <w:t xml:space="preserve">, </w:t>
      </w:r>
      <w:r>
        <w:t>Азбуковачка, Општински пут бр.7 Љубовија – Грабовица (Стари пут) и Општински пут бр.1 Раиновача-Горње Кошље.</w:t>
      </w:r>
    </w:p>
    <w:p w:rsidR="00697450" w:rsidRDefault="00697450" w:rsidP="00697450">
      <w:pPr>
        <w:ind w:firstLine="720"/>
        <w:jc w:val="both"/>
        <w:rPr>
          <w:lang w:val="sr-Cyrl-CS"/>
        </w:rPr>
      </w:pPr>
      <w:r>
        <w:rPr>
          <w:lang w:val="sr-Cyrl-CS"/>
        </w:rPr>
        <w:t xml:space="preserve">Извршилац услуге се обавезује да ће предметне услуге вршити стручно и савесно, у складу са чланом 153. Закона о планирању и изградњи („Службени гласник </w:t>
      </w:r>
      <w:r>
        <w:rPr>
          <w:lang w:val="sr-Cyrl-CS"/>
        </w:rPr>
        <w:lastRenderedPageBreak/>
        <w:t>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F21B1E">
      <w:pPr>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Default="004F3700" w:rsidP="004F3700">
      <w:pPr>
        <w:spacing w:line="235" w:lineRule="auto"/>
        <w:ind w:left="720"/>
        <w:rPr>
          <w:sz w:val="20"/>
          <w:szCs w:val="20"/>
        </w:rPr>
      </w:pPr>
      <w:r>
        <w:t xml:space="preserve">     да има најмање 1 запослено или ангажовано лице следећих квалификација:</w:t>
      </w:r>
    </w:p>
    <w:p w:rsidR="004F3700" w:rsidRDefault="004F3700" w:rsidP="004F3700">
      <w:pPr>
        <w:spacing w:line="13" w:lineRule="exact"/>
        <w:rPr>
          <w:sz w:val="20"/>
          <w:szCs w:val="20"/>
        </w:rPr>
      </w:pPr>
    </w:p>
    <w:p w:rsidR="004F3700" w:rsidRDefault="004F3700" w:rsidP="004F3700">
      <w:pPr>
        <w:numPr>
          <w:ilvl w:val="0"/>
          <w:numId w:val="24"/>
        </w:numPr>
        <w:tabs>
          <w:tab w:val="left" w:pos="998"/>
        </w:tabs>
        <w:suppressAutoHyphens w:val="0"/>
        <w:spacing w:line="234" w:lineRule="auto"/>
        <w:ind w:right="20" w:firstLine="720"/>
        <w:jc w:val="both"/>
      </w:pPr>
      <w:r>
        <w:t xml:space="preserve">1 (један) дипломирани инжењер грађевине са лиценцом одговорног пројектанта број 312 или 315 или 318 </w:t>
      </w:r>
      <w:r>
        <w:rPr>
          <w:b/>
          <w:bCs/>
        </w:rPr>
        <w:t>или</w:t>
      </w:r>
      <w:r>
        <w:t xml:space="preserve"> са лиценцом одговорног извођача број 412</w:t>
      </w:r>
    </w:p>
    <w:p w:rsidR="004F3700" w:rsidRDefault="004F3700" w:rsidP="004F3700">
      <w:pPr>
        <w:spacing w:line="1" w:lineRule="exact"/>
      </w:pPr>
    </w:p>
    <w:p w:rsidR="00CB5662" w:rsidRPr="004F3700" w:rsidRDefault="004F3700" w:rsidP="004F3700">
      <w:pPr>
        <w:pStyle w:val="Default"/>
        <w:ind w:right="4"/>
        <w:jc w:val="both"/>
        <w:rPr>
          <w:rFonts w:ascii="Times New Roman" w:hAnsi="Times New Roman"/>
          <w:color w:val="auto"/>
          <w:sz w:val="22"/>
          <w:szCs w:val="22"/>
          <w:lang w:val="sr-Cyrl-CS"/>
        </w:rPr>
      </w:pPr>
      <w:r w:rsidRPr="004F3700">
        <w:rPr>
          <w:rFonts w:ascii="Times New Roman" w:hAnsi="Times New Roman"/>
        </w:rPr>
        <w:t>или 415 или 418</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C514FF">
      <w:pPr>
        <w:pStyle w:val="Default"/>
        <w:ind w:firstLine="720"/>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Pr>
          <w:rFonts w:ascii="Times New Roman" w:hAnsi="Times New Roman"/>
          <w:b/>
          <w:lang w:val="sr-Cyrl-CS"/>
        </w:rPr>
        <w:t xml:space="preserve">Поред Изјаве,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w:t>
      </w:r>
      <w:r w:rsidR="00C514FF" w:rsidRPr="00C514FF">
        <w:rPr>
          <w:rFonts w:ascii="Times New Roman" w:hAnsi="Times New Roman"/>
          <w:b/>
          <w:bCs/>
        </w:rPr>
        <w:t>морају</w:t>
      </w:r>
      <w:r w:rsidR="00C514FF" w:rsidRPr="00C514FF">
        <w:rPr>
          <w:rFonts w:ascii="Times New Roman" w:hAnsi="Times New Roman"/>
          <w:b/>
        </w:rPr>
        <w:t xml:space="preserve"> бити важећe на дан отварања понуда.</w:t>
      </w:r>
      <w:r w:rsidR="00C514FF">
        <w:rPr>
          <w:rFonts w:ascii="Times New Roman" w:hAnsi="Times New Roman"/>
          <w:b/>
        </w:rPr>
        <w:t xml:space="preserve"> </w:t>
      </w:r>
      <w:r w:rsidR="00757AD6" w:rsidRPr="006213A2">
        <w:rPr>
          <w:rFonts w:ascii="Times New Roman" w:hAnsi="Times New Roman"/>
          <w:b/>
          <w:lang w:val="sr-Cyrl-CS"/>
        </w:rPr>
        <w:t>Образац Изјаве је саставни елемент конкурсне документ</w:t>
      </w:r>
      <w:r w:rsidR="009C344D">
        <w:rPr>
          <w:rFonts w:ascii="Times New Roman" w:hAnsi="Times New Roman"/>
          <w:b/>
          <w:lang w:val="sr-Cyrl-CS"/>
        </w:rPr>
        <w:t>а</w:t>
      </w:r>
      <w:r w:rsidR="004F3700">
        <w:rPr>
          <w:rFonts w:ascii="Times New Roman" w:hAnsi="Times New Roman"/>
          <w:b/>
          <w:lang w:val="sr-Cyrl-CS"/>
        </w:rPr>
        <w:t>ције (Образац 2 и 2а</w:t>
      </w:r>
      <w:r w:rsidR="00757AD6" w:rsidRPr="006213A2">
        <w:rPr>
          <w:rFonts w:ascii="Times New Roman" w:hAnsi="Times New Roman"/>
          <w:b/>
          <w:lang w:val="sr-Cyrl-CS"/>
        </w:rPr>
        <w:t>).</w:t>
      </w:r>
      <w:r w:rsidR="0085342C">
        <w:rPr>
          <w:rFonts w:ascii="Times New Roman" w:hAnsi="Times New Roman"/>
          <w:b/>
          <w:lang w:val="sr-Cyrl-CS"/>
        </w:rPr>
        <w:t xml:space="preserve"> </w:t>
      </w:r>
    </w:p>
    <w:p w:rsidR="0008018D" w:rsidRPr="000048F5" w:rsidRDefault="001A4806" w:rsidP="000048F5">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r w:rsidR="004F3700">
        <w:rPr>
          <w:rFonts w:ascii="Times New Roman" w:hAnsi="Times New Roman"/>
          <w:b/>
          <w:bCs/>
          <w:iCs/>
          <w:lang w:val="sr-Cyrl-CS"/>
        </w:rPr>
        <w:t>, Образац 3</w:t>
      </w:r>
      <w:r>
        <w:rPr>
          <w:rFonts w:ascii="Times New Roman" w:hAnsi="Times New Roman"/>
          <w:b/>
          <w:bCs/>
          <w:iCs/>
          <w:lang w:val="sr-Cyrl-CS"/>
        </w:rPr>
        <w:t>).</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lastRenderedPageBreak/>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lastRenderedPageBreak/>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lastRenderedPageBreak/>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305FFB" w:rsidRPr="00EA0CFD">
        <w:rPr>
          <w:lang w:val="sr-Cyrl-CS"/>
        </w:rPr>
        <w:t>радова</w:t>
      </w:r>
      <w:r w:rsidR="00305FFB">
        <w:rPr>
          <w:lang w:val="sr-Cyrl-CS"/>
        </w:rPr>
        <w:t xml:space="preserve"> </w:t>
      </w:r>
      <w:r w:rsidR="00305FFB" w:rsidRPr="00EA0CFD">
        <w:rPr>
          <w:lang w:val="sr-Cyrl-CS"/>
        </w:rPr>
        <w:t>на</w:t>
      </w:r>
      <w:r w:rsidR="00092084">
        <w:rPr>
          <w:lang w:val="sr-Cyrl-CS"/>
        </w:rPr>
        <w:t xml:space="preserve"> крпљењу ударних рупа на путевима</w:t>
      </w:r>
      <w:r w:rsidR="00305FFB" w:rsidRPr="00767202">
        <w:rPr>
          <w:lang w:val="sr-Cyrl-CS"/>
        </w:rPr>
        <w:t xml:space="preserve">, редни број ЈН </w:t>
      </w:r>
      <w:r w:rsidR="00092084">
        <w:t>20</w:t>
      </w:r>
      <w:r w:rsidR="00092084">
        <w:rPr>
          <w:lang w:val="sr-Cyrl-CS"/>
        </w:rPr>
        <w:t>/2017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092084">
        <w:rPr>
          <w:b/>
          <w:color w:val="000000"/>
          <w:lang w:val="sr-Cyrl-CS"/>
        </w:rPr>
        <w:t>25.05</w:t>
      </w:r>
      <w:r w:rsidR="00580D9A">
        <w:rPr>
          <w:b/>
          <w:color w:val="000000"/>
        </w:rPr>
        <w:t>.201</w:t>
      </w:r>
      <w:r w:rsidR="00092084">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92084">
        <w:rPr>
          <w:b/>
          <w:color w:val="000000"/>
          <w:lang w:val="sr-Cyrl-CS"/>
        </w:rPr>
        <w:t>25.05</w:t>
      </w:r>
      <w:r w:rsidR="00842D29">
        <w:rPr>
          <w:b/>
          <w:color w:val="000000"/>
        </w:rPr>
        <w:t>.201</w:t>
      </w:r>
      <w:r w:rsidR="00092084">
        <w:rPr>
          <w:b/>
          <w:color w:val="000000"/>
          <w:lang w:val="sr-Cyrl-CS"/>
        </w:rPr>
        <w:t>7</w:t>
      </w:r>
      <w:r w:rsidRPr="002B18CC">
        <w:rPr>
          <w:b/>
          <w:color w:val="000000"/>
        </w:rPr>
        <w:t>.</w:t>
      </w:r>
      <w:r>
        <w:rPr>
          <w:color w:val="000000"/>
        </w:rPr>
        <w:t xml:space="preserve"> у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683C0A">
        <w:rPr>
          <w:color w:val="000000"/>
          <w:lang w:val="sr-Cyrl-CS"/>
        </w:rPr>
        <w:t>20</w:t>
      </w:r>
      <w:r w:rsidR="005217FB">
        <w:rPr>
          <w:color w:val="000000"/>
        </w:rPr>
        <w:t>/201</w:t>
      </w:r>
      <w:r w:rsidR="00683C0A">
        <w:rPr>
          <w:color w:val="000000"/>
          <w:lang w:val="sr-Cyrl-CS"/>
        </w:rPr>
        <w:t>7</w:t>
      </w:r>
      <w:r>
        <w:rPr>
          <w:color w:val="000000"/>
        </w:rPr>
        <w:t xml:space="preserve"> – </w:t>
      </w:r>
      <w:r w:rsidR="005217FB">
        <w:rPr>
          <w:color w:val="000000"/>
          <w:lang w:val="sr-Cyrl-CS"/>
        </w:rPr>
        <w:t xml:space="preserve">набавка </w:t>
      </w:r>
      <w:r w:rsidR="009C239D">
        <w:rPr>
          <w:lang w:val="sr-Cyrl-CS"/>
        </w:rPr>
        <w:t>услуг</w:t>
      </w:r>
      <w:r w:rsidR="009C239D">
        <w:t>a</w:t>
      </w:r>
      <w:r w:rsidR="009C239D">
        <w:rPr>
          <w:lang w:val="sr-Cyrl-CS"/>
        </w:rPr>
        <w:t xml:space="preserve"> </w:t>
      </w:r>
      <w:r w:rsidR="00B60BF4">
        <w:rPr>
          <w:lang w:val="sr-Cyrl-CS"/>
        </w:rPr>
        <w:t xml:space="preserve">стручног надзора </w:t>
      </w:r>
      <w:r w:rsidR="00B60BF4" w:rsidRPr="00CB0D0C">
        <w:rPr>
          <w:lang w:val="sr-Cyrl-CS"/>
        </w:rPr>
        <w:t xml:space="preserve">над извођењем </w:t>
      </w:r>
      <w:r w:rsidR="00B60BF4" w:rsidRPr="00EA0CFD">
        <w:rPr>
          <w:lang w:val="sr-Cyrl-CS"/>
        </w:rPr>
        <w:t>радова</w:t>
      </w:r>
      <w:r w:rsidR="00B60BF4">
        <w:rPr>
          <w:lang w:val="sr-Cyrl-CS"/>
        </w:rPr>
        <w:t xml:space="preserve"> </w:t>
      </w:r>
      <w:r w:rsidR="00B60BF4" w:rsidRPr="00EA0CFD">
        <w:rPr>
          <w:lang w:val="sr-Cyrl-CS"/>
        </w:rPr>
        <w:t xml:space="preserve">на </w:t>
      </w:r>
      <w:r w:rsidR="00683C0A">
        <w:rPr>
          <w:lang w:val="sr-Cyrl-CS"/>
        </w:rPr>
        <w:t>кр</w:t>
      </w:r>
      <w:r w:rsidR="006E22EC">
        <w:rPr>
          <w:lang w:val="sr-Cyrl-CS"/>
        </w:rPr>
        <w:t>пљењу ударних рупа на путевима</w:t>
      </w:r>
      <w:r w:rsidR="00B60BF4">
        <w:rPr>
          <w:color w:val="000000"/>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lastRenderedPageBreak/>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 xml:space="preserve">ост </w:t>
      </w:r>
      <w:r w:rsidR="0078304F" w:rsidRPr="00F64609">
        <w:rPr>
          <w:lang w:val="sr-Cyrl-CS"/>
        </w:rPr>
        <w:lastRenderedPageBreak/>
        <w:t>(ПДВ)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683C0A">
        <w:rPr>
          <w:color w:val="000000"/>
        </w:rPr>
        <w:t>А</w:t>
      </w:r>
      <w:r w:rsidR="00D1015F">
        <w:rPr>
          <w:color w:val="000000"/>
        </w:rPr>
        <w:t>на Радо</w:t>
      </w:r>
      <w:r w:rsidR="00683C0A">
        <w:rPr>
          <w:color w:val="000000"/>
        </w:rPr>
        <w:t>ичић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w:t>
      </w:r>
      <w:r w:rsidRPr="0050276F">
        <w:lastRenderedPageBreak/>
        <w:t>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lastRenderedPageBreak/>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683C0A" w:rsidP="00683C0A">
      <w:pPr>
        <w:numPr>
          <w:ilvl w:val="1"/>
          <w:numId w:val="25"/>
        </w:numPr>
        <w:tabs>
          <w:tab w:val="left" w:pos="720"/>
        </w:tabs>
        <w:suppressAutoHyphens w:val="0"/>
        <w:ind w:left="720" w:hanging="360"/>
      </w:pPr>
      <w:r>
        <w:t>позив на број: 20-2017,</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Општинска управа општине Љубовија; ЈН 20/2017;</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7D4025" w:rsidRDefault="007D4025" w:rsidP="00CB5662">
      <w:pPr>
        <w:rPr>
          <w:b/>
          <w:lang w:val="sr-Cyrl-CS"/>
        </w:rPr>
      </w:pPr>
    </w:p>
    <w:p w:rsidR="0025492B" w:rsidRDefault="0025492B" w:rsidP="00CB5662">
      <w:pPr>
        <w:rPr>
          <w:b/>
          <w:lang w:val="sr-Cyrl-C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5A2F9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5A2F9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5A2F92">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5A2F9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5A2F9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5A2F9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5A2F9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5A2F92">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5A2F9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5A2F9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5A2F9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5A2F92">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5A2F9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27145C" w:rsidRPr="0027145C">
        <w:rPr>
          <w:b/>
          <w:i/>
          <w:shadow/>
          <w:lang w:val="sr-Cyrl-CS"/>
        </w:rPr>
        <w:t>услуга</w:t>
      </w:r>
      <w:r w:rsidR="0027145C" w:rsidRPr="0027145C">
        <w:rPr>
          <w:b/>
          <w:i/>
          <w:shadow/>
        </w:rPr>
        <w:t xml:space="preserve"> </w:t>
      </w:r>
      <w:r w:rsidR="0027145C" w:rsidRPr="0027145C">
        <w:rPr>
          <w:b/>
          <w:i/>
          <w:shadow/>
          <w:lang w:val="sr-Cyrl-CS"/>
        </w:rPr>
        <w:t xml:space="preserve">стручног надзора над извођењем радова на </w:t>
      </w:r>
      <w:r w:rsidR="00683C0A">
        <w:rPr>
          <w:b/>
          <w:i/>
          <w:shadow/>
          <w:lang w:val="sr-Cyrl-CS"/>
        </w:rPr>
        <w:t>крпљењу ударних рупа на путевима</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83C0A">
        <w:rPr>
          <w:rFonts w:cs="Arial"/>
          <w:lang w:val="sr-Cyrl-CS"/>
        </w:rPr>
        <w:t>20</w:t>
      </w:r>
      <w:r w:rsidR="00C42F12">
        <w:rPr>
          <w:rFonts w:cs="Arial"/>
        </w:rPr>
        <w:t>/201</w:t>
      </w:r>
      <w:r w:rsidR="00683C0A">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683C0A">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DD1A2F">
            <w:pPr>
              <w:rPr>
                <w:sz w:val="20"/>
                <w:szCs w:val="20"/>
              </w:rPr>
            </w:pPr>
            <w:r>
              <w:t>Вредност понуде без ПДВ-а ( ____ % х 653.583,00 )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723698" w:rsidRDefault="00425648" w:rsidP="00DD1A2F">
            <w:pPr>
              <w:ind w:left="2100"/>
              <w:rPr>
                <w:sz w:val="20"/>
                <w:szCs w:val="20"/>
              </w:rPr>
            </w:pPr>
            <w:r>
              <w:t>динар</w:t>
            </w:r>
            <w:r w:rsidR="007A6624">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723698" w:rsidRDefault="007A6624" w:rsidP="00DD1A2F">
            <w:pPr>
              <w:ind w:left="2140"/>
              <w:rPr>
                <w:sz w:val="20"/>
                <w:szCs w:val="20"/>
              </w:rPr>
            </w:pPr>
            <w:r>
              <w:rPr>
                <w:w w:val="97"/>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5A2F92">
            <w:pPr>
              <w:pBdr>
                <w:bottom w:val="single" w:sz="12" w:space="1" w:color="auto"/>
              </w:pBdr>
              <w:spacing w:beforeLines="30" w:afterLines="30"/>
              <w:jc w:val="both"/>
              <w:rPr>
                <w:lang w:val="sr-Cyrl-CS"/>
              </w:rPr>
            </w:pPr>
          </w:p>
          <w:p w:rsidR="008F1142" w:rsidRPr="00496D53" w:rsidRDefault="008F1142" w:rsidP="005A2F92">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5A2F92">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683C0A">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D354FA" w:rsidRPr="00D354FA">
        <w:rPr>
          <w:b/>
          <w:lang w:val="sr-Cyrl-CS"/>
        </w:rPr>
        <w:t>услуга стручног надзора над извођењем радова</w:t>
      </w:r>
      <w:r w:rsidR="00BD4952" w:rsidRPr="00BD4952">
        <w:rPr>
          <w:lang w:val="sr-Cyrl-CS"/>
        </w:rPr>
        <w:t xml:space="preserve"> </w:t>
      </w:r>
      <w:r w:rsidR="00BD4952" w:rsidRPr="00BD4952">
        <w:rPr>
          <w:b/>
          <w:lang w:val="sr-Cyrl-CS"/>
        </w:rPr>
        <w:t xml:space="preserve">на </w:t>
      </w:r>
      <w:r w:rsidR="00683C0A">
        <w:rPr>
          <w:b/>
          <w:lang w:val="sr-Cyrl-CS"/>
        </w:rPr>
        <w:t>крпљењу ударних рупа на путевима,</w:t>
      </w:r>
      <w:r w:rsidR="00BD4952" w:rsidRPr="00BD4952">
        <w:rPr>
          <w:b/>
          <w:lang w:val="sr-Cyrl-CS"/>
        </w:rPr>
        <w:t xml:space="preserve"> редни број ЈН </w:t>
      </w:r>
      <w:r w:rsidR="00683C0A">
        <w:rPr>
          <w:b/>
        </w:rPr>
        <w:t>20</w:t>
      </w:r>
      <w:r w:rsidR="00BD4952" w:rsidRPr="00BD4952">
        <w:rPr>
          <w:b/>
          <w:lang w:val="sr-Cyrl-CS"/>
        </w:rPr>
        <w:t>/201</w:t>
      </w:r>
      <w:r w:rsidR="00683C0A">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t xml:space="preserve"> има најмање 1 запослено или ангажовано лице следећих валификација:</w:t>
      </w:r>
    </w:p>
    <w:p w:rsidR="0000567A" w:rsidRDefault="0000567A" w:rsidP="0000567A">
      <w:pPr>
        <w:spacing w:line="13" w:lineRule="exact"/>
        <w:rPr>
          <w:sz w:val="20"/>
          <w:szCs w:val="20"/>
        </w:rPr>
      </w:pPr>
    </w:p>
    <w:p w:rsidR="0000567A" w:rsidRDefault="0000567A" w:rsidP="0000567A">
      <w:pPr>
        <w:numPr>
          <w:ilvl w:val="0"/>
          <w:numId w:val="24"/>
        </w:numPr>
        <w:tabs>
          <w:tab w:val="left" w:pos="998"/>
        </w:tabs>
        <w:suppressAutoHyphens w:val="0"/>
        <w:spacing w:line="234" w:lineRule="auto"/>
        <w:ind w:right="20" w:firstLine="720"/>
        <w:jc w:val="both"/>
      </w:pPr>
      <w:r>
        <w:t xml:space="preserve">1 (један) дипломирани инжењер грађевине са лиценцом одговорног пројектанта број 312 или 315 или 318 </w:t>
      </w:r>
      <w:r>
        <w:rPr>
          <w:b/>
          <w:bCs/>
        </w:rPr>
        <w:t>или</w:t>
      </w:r>
      <w:r>
        <w:t xml:space="preserve"> са лиценцом одговорног извођача број 412</w:t>
      </w:r>
    </w:p>
    <w:p w:rsidR="0000567A" w:rsidRDefault="0000567A" w:rsidP="0000567A">
      <w:pPr>
        <w:spacing w:line="1" w:lineRule="exact"/>
      </w:pPr>
    </w:p>
    <w:p w:rsidR="0000567A" w:rsidRPr="004F3700" w:rsidRDefault="0000567A" w:rsidP="0000567A">
      <w:pPr>
        <w:pStyle w:val="Default"/>
        <w:ind w:right="4"/>
        <w:jc w:val="both"/>
        <w:rPr>
          <w:rFonts w:ascii="Times New Roman" w:hAnsi="Times New Roman"/>
          <w:color w:val="auto"/>
          <w:sz w:val="22"/>
          <w:szCs w:val="22"/>
          <w:lang w:val="sr-Cyrl-CS"/>
        </w:rPr>
      </w:pPr>
      <w:r w:rsidRPr="004F3700">
        <w:rPr>
          <w:rFonts w:ascii="Times New Roman" w:hAnsi="Times New Roman"/>
        </w:rPr>
        <w:t>или 415 или 418</w:t>
      </w:r>
    </w:p>
    <w:p w:rsidR="0000567A" w:rsidRPr="00C5046F" w:rsidRDefault="0000567A" w:rsidP="0000567A">
      <w:pPr>
        <w:pStyle w:val="Default"/>
        <w:ind w:left="720" w:right="4"/>
        <w:jc w:val="both"/>
        <w:rPr>
          <w:rFonts w:ascii="Times New Roman" w:hAnsi="Times New Roman"/>
          <w:color w:val="auto"/>
        </w:rPr>
      </w:pP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683C0A">
        <w:rPr>
          <w:b/>
        </w:rPr>
        <w:t>20</w:t>
      </w:r>
      <w:r w:rsidR="00683C0A" w:rsidRPr="00BD4952">
        <w:rPr>
          <w:b/>
          <w:lang w:val="sr-Cyrl-CS"/>
        </w:rPr>
        <w:t>/201</w:t>
      </w:r>
      <w:r w:rsidR="00683C0A">
        <w:rPr>
          <w:b/>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683C0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683C0A">
        <w:rPr>
          <w:b/>
        </w:rPr>
        <w:t>20</w:t>
      </w:r>
      <w:r w:rsidR="00683C0A" w:rsidRPr="00BD4952">
        <w:rPr>
          <w:b/>
          <w:lang w:val="sr-Cyrl-CS"/>
        </w:rPr>
        <w:t>/201</w:t>
      </w:r>
      <w:r w:rsidR="00683C0A">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E1244B" w:rsidP="00E704E6">
            <w:pPr>
              <w:jc w:val="both"/>
              <w:rPr>
                <w:lang w:val="sr-Cyrl-CS"/>
              </w:rPr>
            </w:pPr>
            <w:r>
              <w:rPr>
                <w:lang w:val="sr-Cyrl-CS"/>
              </w:rPr>
              <w:t>Крпљење ударних рупа путевима</w:t>
            </w:r>
          </w:p>
        </w:tc>
        <w:tc>
          <w:tcPr>
            <w:tcW w:w="1800" w:type="dxa"/>
            <w:vAlign w:val="center"/>
          </w:tcPr>
          <w:p w:rsidR="000C6C30" w:rsidRPr="00ED1714" w:rsidRDefault="00FD114A" w:rsidP="000C6C30">
            <w:pPr>
              <w:jc w:val="center"/>
              <w:rPr>
                <w:lang w:val="sr-Cyrl-CS"/>
              </w:rPr>
            </w:pPr>
            <w:r>
              <w:rPr>
                <w:lang w:val="sr-Cyrl-CS"/>
              </w:rPr>
              <w:t>653.583,00</w:t>
            </w:r>
            <w:r w:rsidR="000C6C30" w:rsidRPr="00ED1714">
              <w:rPr>
                <w:lang w:val="sr-Cyrl-CS"/>
              </w:rPr>
              <w:t xml:space="preserve"> </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t>______ 20</w:t>
      </w:r>
      <w:r w:rsidR="00FD114A">
        <w:rPr>
          <w:lang w:val="sr-Cyrl-CS"/>
        </w:rPr>
        <w:t>17</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НАД ИЗВОЂЕЊЕМ РАДОВА НА КРПЉЕЊУ УДАРНИХ НА ПУТЕВИМА</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FD114A">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D114A">
        <w:rPr>
          <w:rFonts w:ascii="Times New Roman" w:hAnsi="Times New Roman"/>
          <w:iCs/>
          <w:lang w:val="sr-Cyrl-CS"/>
        </w:rPr>
        <w:t>20/2017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D114A">
        <w:rPr>
          <w:iCs/>
          <w:lang w:val="sr-Cyrl-CS"/>
        </w:rPr>
        <w:t xml:space="preserve"> ____________2017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9C16A7">
        <w:rPr>
          <w:lang w:val="sr-Cyrl-CS"/>
        </w:rPr>
        <w:t>услуга</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A35628">
        <w:rPr>
          <w:lang w:val="sr-Cyrl-CS"/>
        </w:rPr>
        <w:t xml:space="preserve"> </w:t>
      </w:r>
      <w:r w:rsidR="00A35628" w:rsidRPr="00EA0CFD">
        <w:rPr>
          <w:lang w:val="sr-Cyrl-CS"/>
        </w:rPr>
        <w:t xml:space="preserve">на </w:t>
      </w:r>
      <w:r w:rsidR="005C096B">
        <w:rPr>
          <w:lang w:val="sr-Cyrl-CS"/>
        </w:rPr>
        <w:t>крпљењу ударних рупа на путевима</w:t>
      </w:r>
      <w:r w:rsidR="009C16A7">
        <w:rPr>
          <w:lang w:val="sr-Cyrl-CS"/>
        </w:rPr>
        <w:t xml:space="preserve">, редни број ЈН </w:t>
      </w:r>
      <w:r w:rsidR="00FD114A">
        <w:t>20</w:t>
      </w:r>
      <w:r w:rsidR="00FD114A">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FD114A">
        <w:rPr>
          <w:lang w:val="sr-Cyrl-CS"/>
        </w:rPr>
        <w:t>нуду бр. ______ од ________ 2017</w:t>
      </w:r>
      <w:r w:rsidRPr="00EF0261">
        <w:rPr>
          <w:lang w:val="sr-Cyrl-CS"/>
        </w:rPr>
        <w:t xml:space="preserve">. године (у даљем тексту: Понуда) која је саставни део овог уговора, заведена код Наручиоца, под бројем </w:t>
      </w:r>
      <w:r w:rsidR="00FD114A">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DA11AF">
        <w:rPr>
          <w:lang w:val="sr-Cyrl-CS"/>
        </w:rPr>
        <w:t>услуга</w:t>
      </w:r>
      <w:r w:rsidR="00DA11AF">
        <w:t xml:space="preserve"> </w:t>
      </w:r>
      <w:r w:rsidR="00DA11AF">
        <w:rPr>
          <w:lang w:val="sr-Cyrl-CS"/>
        </w:rPr>
        <w:t>стручног надзора над извођењем радова</w:t>
      </w:r>
      <w:r w:rsidR="0071749A">
        <w:rPr>
          <w:lang w:val="sr-Cyrl-CS"/>
        </w:rPr>
        <w:t xml:space="preserve"> </w:t>
      </w:r>
      <w:r w:rsidR="0071749A" w:rsidRPr="00EA0CFD">
        <w:rPr>
          <w:lang w:val="sr-Cyrl-CS"/>
        </w:rPr>
        <w:t xml:space="preserve">на </w:t>
      </w:r>
      <w:r w:rsidR="00FD114A">
        <w:rPr>
          <w:lang w:val="sr-Cyrl-CS"/>
        </w:rPr>
        <w:t>крпљењу ударних рупа на путевима</w:t>
      </w:r>
      <w:r w:rsidR="0071749A" w:rsidRPr="00767202">
        <w:rPr>
          <w:lang w:val="sr-Cyrl-CS"/>
        </w:rPr>
        <w:t xml:space="preserve">, редни број ЈН </w:t>
      </w:r>
      <w:r w:rsidR="00FD114A">
        <w:t>20</w:t>
      </w:r>
      <w:r w:rsidR="00FD114A">
        <w:rPr>
          <w:lang w:val="sr-Cyrl-CS"/>
        </w:rPr>
        <w:t>/2017</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D114A">
        <w:rPr>
          <w:bCs/>
          <w:lang w:val="sr-Cyrl-CS"/>
        </w:rPr>
        <w:t>______ од ______ 2017</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F138C6">
      <w:pPr>
        <w:autoSpaceDE w:val="0"/>
        <w:autoSpaceDN w:val="0"/>
        <w:adjustRightInd w:val="0"/>
        <w:jc w:val="center"/>
        <w:rPr>
          <w:b/>
          <w:bCs/>
          <w:lang w:val="ru-RU"/>
        </w:rPr>
      </w:pPr>
    </w:p>
    <w:p w:rsidR="00EA047B" w:rsidRDefault="00EA047B" w:rsidP="00F138C6">
      <w:pPr>
        <w:autoSpaceDE w:val="0"/>
        <w:autoSpaceDN w:val="0"/>
        <w:adjustRightInd w:val="0"/>
        <w:jc w:val="center"/>
        <w:rPr>
          <w:b/>
          <w:bCs/>
          <w:lang w:val="ru-RU"/>
        </w:rPr>
      </w:pP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Pr="00FD114A" w:rsidRDefault="00F138C6" w:rsidP="00FD114A">
      <w:pPr>
        <w:autoSpaceDE w:val="0"/>
        <w:autoSpaceDN w:val="0"/>
        <w:adjustRightInd w:val="0"/>
        <w:spacing w:after="120"/>
        <w:ind w:firstLine="720"/>
        <w:jc w:val="both"/>
        <w:rPr>
          <w:b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D114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384149" w:rsidRPr="00D354FA">
        <w:rPr>
          <w:b/>
          <w:lang w:val="sr-Cyrl-CS"/>
        </w:rPr>
        <w:t>услуга</w:t>
      </w:r>
      <w:r w:rsidR="001D2879">
        <w:rPr>
          <w:b/>
          <w:lang w:val="sr-Cyrl-CS"/>
        </w:rPr>
        <w:t xml:space="preserve"> </w:t>
      </w:r>
      <w:r w:rsidR="001D2879" w:rsidRPr="001D2879">
        <w:rPr>
          <w:b/>
          <w:lang w:val="sr-Cyrl-CS"/>
        </w:rPr>
        <w:t xml:space="preserve">стручног надзора над извођењем радова на </w:t>
      </w:r>
      <w:r w:rsidR="00FD114A">
        <w:rPr>
          <w:b/>
          <w:lang w:val="sr-Cyrl-CS"/>
        </w:rPr>
        <w:t>крпљењу ударних рупа на путевима</w:t>
      </w:r>
      <w:r w:rsidR="001D2879" w:rsidRPr="001D2879">
        <w:rPr>
          <w:b/>
          <w:lang w:val="sr-Cyrl-CS"/>
        </w:rPr>
        <w:t xml:space="preserve">, редни број ЈН </w:t>
      </w:r>
      <w:r w:rsidR="00FD114A">
        <w:rPr>
          <w:b/>
        </w:rPr>
        <w:t>20</w:t>
      </w:r>
      <w:r w:rsidR="001D2879" w:rsidRPr="001D2879">
        <w:rPr>
          <w:b/>
          <w:lang w:val="sr-Cyrl-CS"/>
        </w:rPr>
        <w:t>/201</w:t>
      </w:r>
      <w:r w:rsidR="00FD114A">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C6550E">
      <w:footerReference w:type="default" r:id="rId1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89" w:rsidRDefault="00790A89">
      <w:r>
        <w:separator/>
      </w:r>
    </w:p>
  </w:endnote>
  <w:endnote w:type="continuationSeparator" w:id="1">
    <w:p w:rsidR="00790A89" w:rsidRDefault="00790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46" w:rsidRPr="00C6550E" w:rsidRDefault="00511946"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20/2017</w:t>
    </w:r>
    <w:r>
      <w:rPr>
        <w:rFonts w:ascii="Cambria" w:hAnsi="Cambria"/>
      </w:rPr>
      <w:tab/>
      <w:t xml:space="preserve"> </w:t>
    </w:r>
    <w:fldSimple w:instr=" PAGE   \* MERGEFORMAT ">
      <w:r w:rsidR="005A2F92">
        <w:rPr>
          <w:noProof/>
        </w:rPr>
        <w:t>3</w:t>
      </w:r>
    </w:fldSimple>
    <w:r>
      <w:rPr>
        <w:lang w:val="sr-Cyrl-CS"/>
      </w:rPr>
      <w:t>/29</w:t>
    </w:r>
  </w:p>
  <w:p w:rsidR="00511946" w:rsidRDefault="00511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89" w:rsidRDefault="00790A89">
      <w:r>
        <w:separator/>
      </w:r>
    </w:p>
  </w:footnote>
  <w:footnote w:type="continuationSeparator" w:id="1">
    <w:p w:rsidR="00790A89" w:rsidRDefault="00790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3"/>
  </w:num>
  <w:num w:numId="6">
    <w:abstractNumId w:val="20"/>
  </w:num>
  <w:num w:numId="7">
    <w:abstractNumId w:val="16"/>
  </w:num>
  <w:num w:numId="8">
    <w:abstractNumId w:val="22"/>
  </w:num>
  <w:num w:numId="9">
    <w:abstractNumId w:val="4"/>
  </w:num>
  <w:num w:numId="10">
    <w:abstractNumId w:val="23"/>
  </w:num>
  <w:num w:numId="11">
    <w:abstractNumId w:val="21"/>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1"/>
  </w:num>
  <w:num w:numId="18">
    <w:abstractNumId w:val="24"/>
  </w:num>
  <w:num w:numId="19">
    <w:abstractNumId w:val="14"/>
  </w:num>
  <w:num w:numId="20">
    <w:abstractNumId w:val="1"/>
  </w:num>
  <w:num w:numId="21">
    <w:abstractNumId w:val="12"/>
  </w:num>
  <w:num w:numId="22">
    <w:abstractNumId w:val="10"/>
  </w:num>
  <w:num w:numId="23">
    <w:abstractNumId w:val="25"/>
  </w:num>
  <w:num w:numId="24">
    <w:abstractNumId w:val="5"/>
  </w:num>
  <w:num w:numId="25">
    <w:abstractNumId w:val="6"/>
  </w:num>
  <w:num w:numId="26">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B5662"/>
    <w:rsid w:val="00003D5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7946"/>
    <w:rsid w:val="00035C95"/>
    <w:rsid w:val="0004112B"/>
    <w:rsid w:val="000474CF"/>
    <w:rsid w:val="000513AA"/>
    <w:rsid w:val="0005405B"/>
    <w:rsid w:val="00054358"/>
    <w:rsid w:val="00062F01"/>
    <w:rsid w:val="0006335A"/>
    <w:rsid w:val="00065BAF"/>
    <w:rsid w:val="00070A9C"/>
    <w:rsid w:val="0007254C"/>
    <w:rsid w:val="00072A4B"/>
    <w:rsid w:val="00075C97"/>
    <w:rsid w:val="0007664E"/>
    <w:rsid w:val="0008018D"/>
    <w:rsid w:val="000830DE"/>
    <w:rsid w:val="0008622D"/>
    <w:rsid w:val="00086DF1"/>
    <w:rsid w:val="000877D2"/>
    <w:rsid w:val="00091676"/>
    <w:rsid w:val="00092084"/>
    <w:rsid w:val="000930C0"/>
    <w:rsid w:val="00093E46"/>
    <w:rsid w:val="000A4382"/>
    <w:rsid w:val="000A57B5"/>
    <w:rsid w:val="000B4E99"/>
    <w:rsid w:val="000B5332"/>
    <w:rsid w:val="000B7F88"/>
    <w:rsid w:val="000C6C30"/>
    <w:rsid w:val="000D2F55"/>
    <w:rsid w:val="000D334A"/>
    <w:rsid w:val="000E2520"/>
    <w:rsid w:val="000E26D8"/>
    <w:rsid w:val="000F0648"/>
    <w:rsid w:val="000F1E37"/>
    <w:rsid w:val="000F60AB"/>
    <w:rsid w:val="000F63C6"/>
    <w:rsid w:val="00100368"/>
    <w:rsid w:val="00100D35"/>
    <w:rsid w:val="00107352"/>
    <w:rsid w:val="0010796B"/>
    <w:rsid w:val="00107D97"/>
    <w:rsid w:val="001136EB"/>
    <w:rsid w:val="00114B51"/>
    <w:rsid w:val="00116A88"/>
    <w:rsid w:val="00120B85"/>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6A5A"/>
    <w:rsid w:val="00180BC5"/>
    <w:rsid w:val="00181CA7"/>
    <w:rsid w:val="00182A00"/>
    <w:rsid w:val="00183531"/>
    <w:rsid w:val="001843F1"/>
    <w:rsid w:val="00191CEE"/>
    <w:rsid w:val="00192E5E"/>
    <w:rsid w:val="001931BE"/>
    <w:rsid w:val="001955B2"/>
    <w:rsid w:val="00196B6D"/>
    <w:rsid w:val="001A0766"/>
    <w:rsid w:val="001A4806"/>
    <w:rsid w:val="001A6B4D"/>
    <w:rsid w:val="001A7E54"/>
    <w:rsid w:val="001A7ECA"/>
    <w:rsid w:val="001C00C5"/>
    <w:rsid w:val="001C0CA5"/>
    <w:rsid w:val="001C2445"/>
    <w:rsid w:val="001C673E"/>
    <w:rsid w:val="001D2879"/>
    <w:rsid w:val="001D38EA"/>
    <w:rsid w:val="001D4E1C"/>
    <w:rsid w:val="001E0B23"/>
    <w:rsid w:val="001E506D"/>
    <w:rsid w:val="001E6861"/>
    <w:rsid w:val="001E7760"/>
    <w:rsid w:val="001F3069"/>
    <w:rsid w:val="002062B5"/>
    <w:rsid w:val="00206DFF"/>
    <w:rsid w:val="00214F5E"/>
    <w:rsid w:val="00216ED7"/>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487"/>
    <w:rsid w:val="00265EE3"/>
    <w:rsid w:val="0027145C"/>
    <w:rsid w:val="00271555"/>
    <w:rsid w:val="00272CE7"/>
    <w:rsid w:val="002731A9"/>
    <w:rsid w:val="00274CDC"/>
    <w:rsid w:val="002767FC"/>
    <w:rsid w:val="00276D88"/>
    <w:rsid w:val="00276E6F"/>
    <w:rsid w:val="002801BB"/>
    <w:rsid w:val="00281878"/>
    <w:rsid w:val="002841E5"/>
    <w:rsid w:val="002878E6"/>
    <w:rsid w:val="002A0B36"/>
    <w:rsid w:val="002A44F7"/>
    <w:rsid w:val="002A6B3E"/>
    <w:rsid w:val="002B2243"/>
    <w:rsid w:val="002B249D"/>
    <w:rsid w:val="002B4087"/>
    <w:rsid w:val="002B708B"/>
    <w:rsid w:val="002B76C3"/>
    <w:rsid w:val="002C0740"/>
    <w:rsid w:val="002C4A4F"/>
    <w:rsid w:val="002C65E7"/>
    <w:rsid w:val="002E0D51"/>
    <w:rsid w:val="002E19FF"/>
    <w:rsid w:val="002E2BDD"/>
    <w:rsid w:val="002E2E41"/>
    <w:rsid w:val="002E3CDF"/>
    <w:rsid w:val="002E5AAB"/>
    <w:rsid w:val="002F1552"/>
    <w:rsid w:val="002F2FFE"/>
    <w:rsid w:val="002F3BD7"/>
    <w:rsid w:val="002F6AA9"/>
    <w:rsid w:val="003045F5"/>
    <w:rsid w:val="00305FFB"/>
    <w:rsid w:val="0030681C"/>
    <w:rsid w:val="003069CE"/>
    <w:rsid w:val="00313562"/>
    <w:rsid w:val="0031617F"/>
    <w:rsid w:val="00323382"/>
    <w:rsid w:val="00330BCB"/>
    <w:rsid w:val="003319D6"/>
    <w:rsid w:val="003321BD"/>
    <w:rsid w:val="00332B8B"/>
    <w:rsid w:val="0033367F"/>
    <w:rsid w:val="003536AD"/>
    <w:rsid w:val="00360379"/>
    <w:rsid w:val="00361177"/>
    <w:rsid w:val="003616C2"/>
    <w:rsid w:val="0036371E"/>
    <w:rsid w:val="00366076"/>
    <w:rsid w:val="003668DD"/>
    <w:rsid w:val="00367A4E"/>
    <w:rsid w:val="0037752A"/>
    <w:rsid w:val="00381076"/>
    <w:rsid w:val="00381797"/>
    <w:rsid w:val="00384149"/>
    <w:rsid w:val="003A0D35"/>
    <w:rsid w:val="003A0F29"/>
    <w:rsid w:val="003A2610"/>
    <w:rsid w:val="003A391E"/>
    <w:rsid w:val="003A4D3E"/>
    <w:rsid w:val="003A55DC"/>
    <w:rsid w:val="003A67B4"/>
    <w:rsid w:val="003A748E"/>
    <w:rsid w:val="003B7FD4"/>
    <w:rsid w:val="003C2BD8"/>
    <w:rsid w:val="003C361D"/>
    <w:rsid w:val="003C7586"/>
    <w:rsid w:val="003D0D00"/>
    <w:rsid w:val="003D19D0"/>
    <w:rsid w:val="003D2E2E"/>
    <w:rsid w:val="003D2F35"/>
    <w:rsid w:val="003D5F17"/>
    <w:rsid w:val="003D6CA5"/>
    <w:rsid w:val="003D71F6"/>
    <w:rsid w:val="003E00EB"/>
    <w:rsid w:val="003E18B9"/>
    <w:rsid w:val="003E2760"/>
    <w:rsid w:val="003E420C"/>
    <w:rsid w:val="003E5AB1"/>
    <w:rsid w:val="003E7B94"/>
    <w:rsid w:val="003F5897"/>
    <w:rsid w:val="003F71B0"/>
    <w:rsid w:val="00402D40"/>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521B7"/>
    <w:rsid w:val="0045325D"/>
    <w:rsid w:val="00454ACB"/>
    <w:rsid w:val="00455DF6"/>
    <w:rsid w:val="00457E6A"/>
    <w:rsid w:val="0046700C"/>
    <w:rsid w:val="004732AE"/>
    <w:rsid w:val="00490485"/>
    <w:rsid w:val="004906B9"/>
    <w:rsid w:val="00496211"/>
    <w:rsid w:val="004A011D"/>
    <w:rsid w:val="004A050A"/>
    <w:rsid w:val="004A0740"/>
    <w:rsid w:val="004B0397"/>
    <w:rsid w:val="004B1D15"/>
    <w:rsid w:val="004B4EAC"/>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5BE9"/>
    <w:rsid w:val="00587EB5"/>
    <w:rsid w:val="005940E3"/>
    <w:rsid w:val="00595B9A"/>
    <w:rsid w:val="00596292"/>
    <w:rsid w:val="005A02F3"/>
    <w:rsid w:val="005A0C54"/>
    <w:rsid w:val="005A1A56"/>
    <w:rsid w:val="005A1AE3"/>
    <w:rsid w:val="005A2F92"/>
    <w:rsid w:val="005A4A4E"/>
    <w:rsid w:val="005A4D78"/>
    <w:rsid w:val="005A5936"/>
    <w:rsid w:val="005A7C96"/>
    <w:rsid w:val="005B2A0E"/>
    <w:rsid w:val="005B43F8"/>
    <w:rsid w:val="005B5939"/>
    <w:rsid w:val="005B7135"/>
    <w:rsid w:val="005B7599"/>
    <w:rsid w:val="005B78E7"/>
    <w:rsid w:val="005C096B"/>
    <w:rsid w:val="005C13AB"/>
    <w:rsid w:val="005C1B47"/>
    <w:rsid w:val="005C254E"/>
    <w:rsid w:val="005C7D5C"/>
    <w:rsid w:val="005D03AB"/>
    <w:rsid w:val="005D099E"/>
    <w:rsid w:val="005D10A5"/>
    <w:rsid w:val="005D7021"/>
    <w:rsid w:val="005E03F7"/>
    <w:rsid w:val="005F1463"/>
    <w:rsid w:val="005F1DA7"/>
    <w:rsid w:val="005F66AB"/>
    <w:rsid w:val="005F7AAE"/>
    <w:rsid w:val="006072B7"/>
    <w:rsid w:val="0060745D"/>
    <w:rsid w:val="00610E7B"/>
    <w:rsid w:val="00614DF7"/>
    <w:rsid w:val="00616DAA"/>
    <w:rsid w:val="00620E15"/>
    <w:rsid w:val="00620F73"/>
    <w:rsid w:val="006233BF"/>
    <w:rsid w:val="00624BC1"/>
    <w:rsid w:val="00626798"/>
    <w:rsid w:val="00635ADF"/>
    <w:rsid w:val="00635CEC"/>
    <w:rsid w:val="00655E1D"/>
    <w:rsid w:val="006571B0"/>
    <w:rsid w:val="0066278E"/>
    <w:rsid w:val="00665E1C"/>
    <w:rsid w:val="006706CE"/>
    <w:rsid w:val="00670C11"/>
    <w:rsid w:val="00672E38"/>
    <w:rsid w:val="00673164"/>
    <w:rsid w:val="00683C0A"/>
    <w:rsid w:val="00684D3D"/>
    <w:rsid w:val="00687848"/>
    <w:rsid w:val="00693DED"/>
    <w:rsid w:val="00697450"/>
    <w:rsid w:val="006A44AD"/>
    <w:rsid w:val="006B6C7C"/>
    <w:rsid w:val="006C1297"/>
    <w:rsid w:val="006C56EA"/>
    <w:rsid w:val="006C59F0"/>
    <w:rsid w:val="006C7A18"/>
    <w:rsid w:val="006D0257"/>
    <w:rsid w:val="006D07A4"/>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49A"/>
    <w:rsid w:val="00717EA8"/>
    <w:rsid w:val="00721006"/>
    <w:rsid w:val="007267CE"/>
    <w:rsid w:val="00727D2D"/>
    <w:rsid w:val="00731A3E"/>
    <w:rsid w:val="00733B84"/>
    <w:rsid w:val="007354AB"/>
    <w:rsid w:val="00737C9D"/>
    <w:rsid w:val="00747F95"/>
    <w:rsid w:val="00750D5E"/>
    <w:rsid w:val="007530D4"/>
    <w:rsid w:val="007534D5"/>
    <w:rsid w:val="00753BC2"/>
    <w:rsid w:val="0075613A"/>
    <w:rsid w:val="00757AD6"/>
    <w:rsid w:val="007600ED"/>
    <w:rsid w:val="00764A59"/>
    <w:rsid w:val="0077278D"/>
    <w:rsid w:val="00776D67"/>
    <w:rsid w:val="00777A06"/>
    <w:rsid w:val="00777B9B"/>
    <w:rsid w:val="00780DC5"/>
    <w:rsid w:val="0078100D"/>
    <w:rsid w:val="00781EE3"/>
    <w:rsid w:val="0078304F"/>
    <w:rsid w:val="007830EC"/>
    <w:rsid w:val="00790A89"/>
    <w:rsid w:val="007914BD"/>
    <w:rsid w:val="00791F36"/>
    <w:rsid w:val="00793561"/>
    <w:rsid w:val="007935D8"/>
    <w:rsid w:val="00793877"/>
    <w:rsid w:val="00793EFC"/>
    <w:rsid w:val="00794862"/>
    <w:rsid w:val="007A6624"/>
    <w:rsid w:val="007A7E00"/>
    <w:rsid w:val="007B2FB9"/>
    <w:rsid w:val="007B6807"/>
    <w:rsid w:val="007C67E8"/>
    <w:rsid w:val="007D0032"/>
    <w:rsid w:val="007D132F"/>
    <w:rsid w:val="007D4025"/>
    <w:rsid w:val="007E2BFD"/>
    <w:rsid w:val="007E39A6"/>
    <w:rsid w:val="007E5757"/>
    <w:rsid w:val="007F736D"/>
    <w:rsid w:val="007F7595"/>
    <w:rsid w:val="00807695"/>
    <w:rsid w:val="0081233B"/>
    <w:rsid w:val="0081553C"/>
    <w:rsid w:val="008207CB"/>
    <w:rsid w:val="00822C2D"/>
    <w:rsid w:val="0083119F"/>
    <w:rsid w:val="008334F0"/>
    <w:rsid w:val="008338D5"/>
    <w:rsid w:val="008343C3"/>
    <w:rsid w:val="0083511D"/>
    <w:rsid w:val="00840463"/>
    <w:rsid w:val="00841DCF"/>
    <w:rsid w:val="00842007"/>
    <w:rsid w:val="00842D29"/>
    <w:rsid w:val="00846C67"/>
    <w:rsid w:val="0085342C"/>
    <w:rsid w:val="00853C0B"/>
    <w:rsid w:val="0085474F"/>
    <w:rsid w:val="00862C9A"/>
    <w:rsid w:val="008658D3"/>
    <w:rsid w:val="00865E85"/>
    <w:rsid w:val="00887485"/>
    <w:rsid w:val="00891A6B"/>
    <w:rsid w:val="00891E10"/>
    <w:rsid w:val="008932FF"/>
    <w:rsid w:val="008A6A5E"/>
    <w:rsid w:val="008A777B"/>
    <w:rsid w:val="008B08B9"/>
    <w:rsid w:val="008B09D3"/>
    <w:rsid w:val="008B10B7"/>
    <w:rsid w:val="008B3BB1"/>
    <w:rsid w:val="008B5F88"/>
    <w:rsid w:val="008B64E6"/>
    <w:rsid w:val="008B6922"/>
    <w:rsid w:val="008C38AA"/>
    <w:rsid w:val="008C4848"/>
    <w:rsid w:val="008C6DC5"/>
    <w:rsid w:val="008D6F40"/>
    <w:rsid w:val="008D7222"/>
    <w:rsid w:val="008D77D4"/>
    <w:rsid w:val="008E15CD"/>
    <w:rsid w:val="008E1B41"/>
    <w:rsid w:val="008E5119"/>
    <w:rsid w:val="008F082C"/>
    <w:rsid w:val="008F0B8B"/>
    <w:rsid w:val="008F1142"/>
    <w:rsid w:val="008F2B58"/>
    <w:rsid w:val="008F4EB2"/>
    <w:rsid w:val="008F778F"/>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6665"/>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73E6"/>
    <w:rsid w:val="009B2734"/>
    <w:rsid w:val="009C16A7"/>
    <w:rsid w:val="009C239D"/>
    <w:rsid w:val="009C344D"/>
    <w:rsid w:val="009C4578"/>
    <w:rsid w:val="009C50C3"/>
    <w:rsid w:val="009C6A30"/>
    <w:rsid w:val="009D0F04"/>
    <w:rsid w:val="009D6C87"/>
    <w:rsid w:val="009D754B"/>
    <w:rsid w:val="009D7569"/>
    <w:rsid w:val="009E0A5E"/>
    <w:rsid w:val="009E465D"/>
    <w:rsid w:val="009E62CE"/>
    <w:rsid w:val="009E6E8D"/>
    <w:rsid w:val="009F7422"/>
    <w:rsid w:val="009F7B0C"/>
    <w:rsid w:val="00A02228"/>
    <w:rsid w:val="00A065FC"/>
    <w:rsid w:val="00A13314"/>
    <w:rsid w:val="00A13FC8"/>
    <w:rsid w:val="00A15BF6"/>
    <w:rsid w:val="00A17857"/>
    <w:rsid w:val="00A20AB1"/>
    <w:rsid w:val="00A22541"/>
    <w:rsid w:val="00A305AE"/>
    <w:rsid w:val="00A30F83"/>
    <w:rsid w:val="00A3299D"/>
    <w:rsid w:val="00A34E2F"/>
    <w:rsid w:val="00A35628"/>
    <w:rsid w:val="00A36976"/>
    <w:rsid w:val="00A3762E"/>
    <w:rsid w:val="00A4399F"/>
    <w:rsid w:val="00A449CB"/>
    <w:rsid w:val="00A44FDC"/>
    <w:rsid w:val="00A54240"/>
    <w:rsid w:val="00A55579"/>
    <w:rsid w:val="00A70807"/>
    <w:rsid w:val="00A7474D"/>
    <w:rsid w:val="00A75FAA"/>
    <w:rsid w:val="00A81D30"/>
    <w:rsid w:val="00A835B8"/>
    <w:rsid w:val="00A83C48"/>
    <w:rsid w:val="00A84B7F"/>
    <w:rsid w:val="00A851CC"/>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6DC6"/>
    <w:rsid w:val="00AF0803"/>
    <w:rsid w:val="00AF138B"/>
    <w:rsid w:val="00AF5E30"/>
    <w:rsid w:val="00B00CB5"/>
    <w:rsid w:val="00B017DC"/>
    <w:rsid w:val="00B0473A"/>
    <w:rsid w:val="00B14E8B"/>
    <w:rsid w:val="00B15E40"/>
    <w:rsid w:val="00B163F6"/>
    <w:rsid w:val="00B20778"/>
    <w:rsid w:val="00B21B2D"/>
    <w:rsid w:val="00B35906"/>
    <w:rsid w:val="00B3686D"/>
    <w:rsid w:val="00B41485"/>
    <w:rsid w:val="00B523D0"/>
    <w:rsid w:val="00B5608A"/>
    <w:rsid w:val="00B57D93"/>
    <w:rsid w:val="00B60BF4"/>
    <w:rsid w:val="00B6165C"/>
    <w:rsid w:val="00B61661"/>
    <w:rsid w:val="00B64D5F"/>
    <w:rsid w:val="00B653F5"/>
    <w:rsid w:val="00B65875"/>
    <w:rsid w:val="00B65BB6"/>
    <w:rsid w:val="00B801F0"/>
    <w:rsid w:val="00B81D51"/>
    <w:rsid w:val="00B82491"/>
    <w:rsid w:val="00B84B2C"/>
    <w:rsid w:val="00B867E8"/>
    <w:rsid w:val="00B93AAB"/>
    <w:rsid w:val="00B94E1E"/>
    <w:rsid w:val="00B95A9C"/>
    <w:rsid w:val="00B97B6A"/>
    <w:rsid w:val="00B97D31"/>
    <w:rsid w:val="00BA1262"/>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316F"/>
    <w:rsid w:val="00C03634"/>
    <w:rsid w:val="00C04733"/>
    <w:rsid w:val="00C14F45"/>
    <w:rsid w:val="00C16A6C"/>
    <w:rsid w:val="00C16C27"/>
    <w:rsid w:val="00C22A08"/>
    <w:rsid w:val="00C256CA"/>
    <w:rsid w:val="00C25E80"/>
    <w:rsid w:val="00C26863"/>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603AB"/>
    <w:rsid w:val="00C6550E"/>
    <w:rsid w:val="00C677AD"/>
    <w:rsid w:val="00C7346B"/>
    <w:rsid w:val="00C73855"/>
    <w:rsid w:val="00C77456"/>
    <w:rsid w:val="00C80226"/>
    <w:rsid w:val="00C82A71"/>
    <w:rsid w:val="00C92A64"/>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D1355"/>
    <w:rsid w:val="00CD45FF"/>
    <w:rsid w:val="00CD4733"/>
    <w:rsid w:val="00CD6D18"/>
    <w:rsid w:val="00CD7F65"/>
    <w:rsid w:val="00CE3A03"/>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E69"/>
    <w:rsid w:val="00D75B02"/>
    <w:rsid w:val="00D75F1B"/>
    <w:rsid w:val="00D81E66"/>
    <w:rsid w:val="00D8523B"/>
    <w:rsid w:val="00D8748A"/>
    <w:rsid w:val="00D87E1F"/>
    <w:rsid w:val="00D9003D"/>
    <w:rsid w:val="00D91217"/>
    <w:rsid w:val="00D934AA"/>
    <w:rsid w:val="00D95619"/>
    <w:rsid w:val="00D96805"/>
    <w:rsid w:val="00D96E51"/>
    <w:rsid w:val="00DA11AF"/>
    <w:rsid w:val="00DA128D"/>
    <w:rsid w:val="00DA329F"/>
    <w:rsid w:val="00DA6A7A"/>
    <w:rsid w:val="00DB3055"/>
    <w:rsid w:val="00DC3E4F"/>
    <w:rsid w:val="00DD1A2F"/>
    <w:rsid w:val="00DD23F9"/>
    <w:rsid w:val="00DE2F13"/>
    <w:rsid w:val="00DF2712"/>
    <w:rsid w:val="00DF3B1D"/>
    <w:rsid w:val="00DF6B49"/>
    <w:rsid w:val="00E1244B"/>
    <w:rsid w:val="00E13BD8"/>
    <w:rsid w:val="00E14B1A"/>
    <w:rsid w:val="00E2290E"/>
    <w:rsid w:val="00E2379B"/>
    <w:rsid w:val="00E33DBC"/>
    <w:rsid w:val="00E40673"/>
    <w:rsid w:val="00E41C75"/>
    <w:rsid w:val="00E45D41"/>
    <w:rsid w:val="00E51736"/>
    <w:rsid w:val="00E53C69"/>
    <w:rsid w:val="00E54082"/>
    <w:rsid w:val="00E55008"/>
    <w:rsid w:val="00E55AC3"/>
    <w:rsid w:val="00E55E8E"/>
    <w:rsid w:val="00E7012F"/>
    <w:rsid w:val="00E704E6"/>
    <w:rsid w:val="00E721B5"/>
    <w:rsid w:val="00E76CEE"/>
    <w:rsid w:val="00E76D6B"/>
    <w:rsid w:val="00E77440"/>
    <w:rsid w:val="00E804EB"/>
    <w:rsid w:val="00E812F7"/>
    <w:rsid w:val="00E954DD"/>
    <w:rsid w:val="00E965F3"/>
    <w:rsid w:val="00E96D55"/>
    <w:rsid w:val="00E97EE2"/>
    <w:rsid w:val="00EA047B"/>
    <w:rsid w:val="00EA1241"/>
    <w:rsid w:val="00EA241A"/>
    <w:rsid w:val="00EA470A"/>
    <w:rsid w:val="00EA5D2E"/>
    <w:rsid w:val="00EB1A66"/>
    <w:rsid w:val="00EB3B5A"/>
    <w:rsid w:val="00EB3B8A"/>
    <w:rsid w:val="00EC0DF2"/>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F16DB"/>
    <w:rsid w:val="00EF25B9"/>
    <w:rsid w:val="00EF3FB5"/>
    <w:rsid w:val="00EF43C8"/>
    <w:rsid w:val="00EF44EB"/>
    <w:rsid w:val="00EF79F9"/>
    <w:rsid w:val="00F017C5"/>
    <w:rsid w:val="00F01969"/>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64609"/>
    <w:rsid w:val="00F67032"/>
    <w:rsid w:val="00F70559"/>
    <w:rsid w:val="00F72280"/>
    <w:rsid w:val="00F72DF2"/>
    <w:rsid w:val="00F738EC"/>
    <w:rsid w:val="00F74336"/>
    <w:rsid w:val="00F7737D"/>
    <w:rsid w:val="00F779DA"/>
    <w:rsid w:val="00F8261D"/>
    <w:rsid w:val="00F964FB"/>
    <w:rsid w:val="00F96C5F"/>
    <w:rsid w:val="00FA1516"/>
    <w:rsid w:val="00FA1622"/>
    <w:rsid w:val="00FA1DCA"/>
    <w:rsid w:val="00FA2991"/>
    <w:rsid w:val="00FA2B27"/>
    <w:rsid w:val="00FA77DE"/>
    <w:rsid w:val="00FB018B"/>
    <w:rsid w:val="00FB0FA9"/>
    <w:rsid w:val="00FB38A2"/>
    <w:rsid w:val="00FB557D"/>
    <w:rsid w:val="00FC2E92"/>
    <w:rsid w:val="00FC49E6"/>
    <w:rsid w:val="00FC75EE"/>
    <w:rsid w:val="00FD114A"/>
    <w:rsid w:val="00FD4EDA"/>
    <w:rsid w:val="00FD5860"/>
    <w:rsid w:val="00FD685F"/>
    <w:rsid w:val="00FD7E71"/>
    <w:rsid w:val="00FE1C89"/>
    <w:rsid w:val="00FE3A37"/>
    <w:rsid w:val="00FE798D"/>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3BC5-2DFD-4C51-97FE-3C382AD6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8374</Words>
  <Characters>47736</Characters>
  <Application>Microsoft Office Word</Application>
  <DocSecurity>0</DocSecurity>
  <Lines>397</Lines>
  <Paragraphs>111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55999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49</cp:revision>
  <cp:lastPrinted>2017-05-15T10:40:00Z</cp:lastPrinted>
  <dcterms:created xsi:type="dcterms:W3CDTF">2017-05-15T11:32:00Z</dcterms:created>
  <dcterms:modified xsi:type="dcterms:W3CDTF">2017-05-16T08:08:00Z</dcterms:modified>
</cp:coreProperties>
</file>