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Република Србија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Општина Љубовија</w:t>
      </w:r>
    </w:p>
    <w:p w:rsidR="0041016B"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Општинска управа</w:t>
      </w:r>
    </w:p>
    <w:p w:rsidR="0041016B" w:rsidRPr="00EB7D03" w:rsidRDefault="0041016B"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Број:</w:t>
      </w:r>
      <w:r w:rsidR="00F04E91">
        <w:rPr>
          <w:rFonts w:ascii="Times New Roman" w:hAnsi="Times New Roman" w:cs="Times New Roman"/>
          <w:sz w:val="24"/>
          <w:szCs w:val="24"/>
        </w:rPr>
        <w:t xml:space="preserve"> </w:t>
      </w:r>
      <w:r w:rsidR="007163E5">
        <w:rPr>
          <w:rFonts w:ascii="Times New Roman" w:hAnsi="Times New Roman" w:cs="Times New Roman"/>
          <w:sz w:val="24"/>
          <w:szCs w:val="24"/>
        </w:rPr>
        <w:t>400-208</w:t>
      </w:r>
      <w:r w:rsidR="00612090">
        <w:rPr>
          <w:rFonts w:ascii="Times New Roman" w:hAnsi="Times New Roman" w:cs="Times New Roman"/>
          <w:sz w:val="24"/>
          <w:szCs w:val="24"/>
        </w:rPr>
        <w:t xml:space="preserve"> </w:t>
      </w:r>
      <w:r w:rsidR="00F04E91">
        <w:rPr>
          <w:rFonts w:ascii="Times New Roman" w:hAnsi="Times New Roman" w:cs="Times New Roman"/>
          <w:sz w:val="24"/>
          <w:szCs w:val="24"/>
        </w:rPr>
        <w:t>/17</w:t>
      </w:r>
      <w:r w:rsidR="00EB7D03">
        <w:rPr>
          <w:rFonts w:ascii="Times New Roman" w:hAnsi="Times New Roman" w:cs="Times New Roman"/>
          <w:sz w:val="24"/>
          <w:szCs w:val="24"/>
        </w:rPr>
        <w:t>-04</w:t>
      </w:r>
    </w:p>
    <w:p w:rsidR="0041016B" w:rsidRDefault="007163E5" w:rsidP="00953362">
      <w:pPr>
        <w:tabs>
          <w:tab w:val="left" w:pos="5745"/>
        </w:tabs>
        <w:jc w:val="both"/>
        <w:rPr>
          <w:rFonts w:ascii="Times New Roman" w:hAnsi="Times New Roman" w:cs="Times New Roman"/>
          <w:sz w:val="24"/>
          <w:szCs w:val="24"/>
        </w:rPr>
      </w:pPr>
      <w:r>
        <w:rPr>
          <w:rFonts w:ascii="Times New Roman" w:hAnsi="Times New Roman" w:cs="Times New Roman"/>
          <w:sz w:val="24"/>
          <w:szCs w:val="24"/>
        </w:rPr>
        <w:t>27</w:t>
      </w:r>
      <w:r w:rsidR="00F04E91">
        <w:rPr>
          <w:rFonts w:ascii="Times New Roman" w:hAnsi="Times New Roman" w:cs="Times New Roman"/>
          <w:sz w:val="24"/>
          <w:szCs w:val="24"/>
        </w:rPr>
        <w:t>.07</w:t>
      </w:r>
      <w:r w:rsidR="00BB30AB">
        <w:rPr>
          <w:rFonts w:ascii="Times New Roman" w:hAnsi="Times New Roman" w:cs="Times New Roman"/>
          <w:sz w:val="24"/>
          <w:szCs w:val="24"/>
        </w:rPr>
        <w:t>.201</w:t>
      </w:r>
      <w:r w:rsidR="00F04E91">
        <w:rPr>
          <w:rFonts w:ascii="Times New Roman" w:hAnsi="Times New Roman" w:cs="Times New Roman"/>
          <w:sz w:val="24"/>
          <w:szCs w:val="24"/>
        </w:rPr>
        <w:t>7</w:t>
      </w:r>
      <w:r w:rsidR="0041016B">
        <w:rPr>
          <w:rFonts w:ascii="Times New Roman" w:hAnsi="Times New Roman" w:cs="Times New Roman"/>
          <w:sz w:val="24"/>
          <w:szCs w:val="24"/>
        </w:rPr>
        <w:t>. године</w:t>
      </w: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41016B" w:rsidRDefault="0041016B" w:rsidP="00953362">
      <w:pPr>
        <w:tabs>
          <w:tab w:val="left" w:pos="5745"/>
        </w:tabs>
        <w:jc w:val="both"/>
        <w:rPr>
          <w:rFonts w:ascii="Times New Roman" w:hAnsi="Times New Roman" w:cs="Times New Roman"/>
          <w:sz w:val="24"/>
          <w:szCs w:val="24"/>
        </w:rPr>
      </w:pPr>
    </w:p>
    <w:p w:rsidR="00B07D87" w:rsidRPr="00B07D87" w:rsidRDefault="00B07D87" w:rsidP="00953362">
      <w:pPr>
        <w:tabs>
          <w:tab w:val="left" w:pos="5745"/>
        </w:tabs>
        <w:jc w:val="both"/>
        <w:rPr>
          <w:rFonts w:ascii="Times New Roman" w:hAnsi="Times New Roman" w:cs="Times New Roman"/>
          <w:sz w:val="24"/>
          <w:szCs w:val="24"/>
        </w:rPr>
      </w:pPr>
      <w:r w:rsidRPr="00B07D87">
        <w:rPr>
          <w:rFonts w:ascii="Times New Roman" w:hAnsi="Times New Roman" w:cs="Times New Roman"/>
          <w:sz w:val="24"/>
          <w:szCs w:val="24"/>
        </w:rPr>
        <w:t>На основу члана 40. Закона о буџетском систему (''Сл.гласник РС'', бр. 54/09, 73/10, 101/10, 101/11, 62/13, 63/13, 108/13, 142/2014</w:t>
      </w:r>
      <w:r w:rsidR="00F04E91">
        <w:rPr>
          <w:rFonts w:ascii="Times New Roman" w:hAnsi="Times New Roman" w:cs="Times New Roman"/>
          <w:sz w:val="24"/>
          <w:szCs w:val="24"/>
        </w:rPr>
        <w:t>,</w:t>
      </w:r>
      <w:r w:rsidR="002972FF">
        <w:rPr>
          <w:rFonts w:ascii="Times New Roman" w:hAnsi="Times New Roman" w:cs="Times New Roman"/>
          <w:sz w:val="24"/>
          <w:szCs w:val="24"/>
        </w:rPr>
        <w:t>103/15</w:t>
      </w:r>
      <w:r w:rsidR="00F04E91">
        <w:rPr>
          <w:rFonts w:ascii="Times New Roman" w:hAnsi="Times New Roman" w:cs="Times New Roman"/>
          <w:sz w:val="24"/>
          <w:szCs w:val="24"/>
        </w:rPr>
        <w:t xml:space="preserve"> и 99/2016</w:t>
      </w:r>
      <w:r w:rsidRPr="00B07D87">
        <w:rPr>
          <w:rFonts w:ascii="Times New Roman" w:hAnsi="Times New Roman" w:cs="Times New Roman"/>
          <w:sz w:val="24"/>
          <w:szCs w:val="24"/>
        </w:rPr>
        <w:t>), Општинска управа Љубовија  , доставља</w:t>
      </w:r>
    </w:p>
    <w:p w:rsidR="00B07D87" w:rsidRPr="00B07D87" w:rsidRDefault="00B07D87" w:rsidP="00953362">
      <w:pPr>
        <w:autoSpaceDE w:val="0"/>
        <w:autoSpaceDN w:val="0"/>
        <w:adjustRightInd w:val="0"/>
        <w:jc w:val="both"/>
        <w:rPr>
          <w:rFonts w:ascii="Times New Roman" w:hAnsi="Times New Roman" w:cs="Times New Roman"/>
          <w:color w:val="000000"/>
          <w:sz w:val="24"/>
          <w:szCs w:val="24"/>
        </w:rPr>
      </w:pPr>
    </w:p>
    <w:p w:rsidR="00B07D87" w:rsidRPr="00B07D87" w:rsidRDefault="00B07D87" w:rsidP="00B07D87">
      <w:pPr>
        <w:autoSpaceDE w:val="0"/>
        <w:autoSpaceDN w:val="0"/>
        <w:adjustRightInd w:val="0"/>
        <w:jc w:val="both"/>
        <w:rPr>
          <w:rFonts w:ascii="Times New Roman" w:hAnsi="Times New Roman" w:cs="Times New Roman"/>
          <w:b/>
          <w:bCs/>
          <w:color w:val="000000"/>
          <w:sz w:val="24"/>
          <w:szCs w:val="24"/>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FB5204" w:rsidRDefault="00FB5204" w:rsidP="00B07D87">
      <w:pPr>
        <w:autoSpaceDE w:val="0"/>
        <w:autoSpaceDN w:val="0"/>
        <w:adjustRightInd w:val="0"/>
        <w:jc w:val="both"/>
        <w:rPr>
          <w:rFonts w:ascii="Times New Roman" w:hAnsi="Times New Roman" w:cs="Times New Roman"/>
          <w:b/>
          <w:bCs/>
          <w:color w:val="000000"/>
          <w:sz w:val="48"/>
          <w:szCs w:val="48"/>
        </w:rPr>
      </w:pPr>
    </w:p>
    <w:p w:rsidR="00B07D87" w:rsidRPr="00B07D87" w:rsidRDefault="00B07D87" w:rsidP="00B07D87">
      <w:pPr>
        <w:autoSpaceDE w:val="0"/>
        <w:autoSpaceDN w:val="0"/>
        <w:adjustRightInd w:val="0"/>
        <w:jc w:val="both"/>
        <w:rPr>
          <w:rFonts w:ascii="Times New Roman" w:hAnsi="Times New Roman" w:cs="Times New Roman"/>
          <w:color w:val="000000"/>
          <w:sz w:val="48"/>
          <w:szCs w:val="48"/>
        </w:rPr>
      </w:pPr>
    </w:p>
    <w:p w:rsidR="00B07D87" w:rsidRPr="00B07D87" w:rsidRDefault="00B07D87" w:rsidP="00B07D87">
      <w:pPr>
        <w:autoSpaceDE w:val="0"/>
        <w:autoSpaceDN w:val="0"/>
        <w:adjustRightInd w:val="0"/>
        <w:jc w:val="center"/>
        <w:rPr>
          <w:rFonts w:ascii="Times New Roman" w:hAnsi="Times New Roman" w:cs="Times New Roman"/>
          <w:color w:val="000000"/>
          <w:sz w:val="72"/>
          <w:szCs w:val="72"/>
        </w:rPr>
      </w:pPr>
      <w:r w:rsidRPr="00B07D87">
        <w:rPr>
          <w:rFonts w:ascii="Times New Roman" w:hAnsi="Times New Roman" w:cs="Times New Roman"/>
          <w:b/>
          <w:bCs/>
          <w:color w:val="000000"/>
          <w:sz w:val="72"/>
          <w:szCs w:val="72"/>
        </w:rPr>
        <w:t xml:space="preserve">УПУТСТВО </w:t>
      </w:r>
    </w:p>
    <w:p w:rsidR="002972FF" w:rsidRDefault="00B07D87" w:rsidP="00B07D87">
      <w:pPr>
        <w:autoSpaceDE w:val="0"/>
        <w:autoSpaceDN w:val="0"/>
        <w:adjustRightInd w:val="0"/>
        <w:jc w:val="center"/>
        <w:rPr>
          <w:rFonts w:ascii="Times New Roman" w:hAnsi="Times New Roman" w:cs="Times New Roman"/>
          <w:b/>
          <w:bCs/>
          <w:color w:val="000000"/>
          <w:sz w:val="40"/>
          <w:szCs w:val="40"/>
        </w:rPr>
      </w:pPr>
      <w:r w:rsidRPr="00B07D87">
        <w:rPr>
          <w:rFonts w:ascii="Times New Roman" w:hAnsi="Times New Roman" w:cs="Times New Roman"/>
          <w:b/>
          <w:bCs/>
          <w:color w:val="000000"/>
          <w:sz w:val="40"/>
          <w:szCs w:val="40"/>
        </w:rPr>
        <w:t xml:space="preserve">ЗА ПРИПРЕМУ БУЏЕТА ОПШТИНЕ </w:t>
      </w:r>
      <w:r>
        <w:rPr>
          <w:rFonts w:ascii="Times New Roman" w:hAnsi="Times New Roman" w:cs="Times New Roman"/>
          <w:b/>
          <w:bCs/>
          <w:color w:val="000000"/>
          <w:sz w:val="40"/>
          <w:szCs w:val="40"/>
        </w:rPr>
        <w:t xml:space="preserve">ЉУБОВИЈА </w:t>
      </w:r>
      <w:r w:rsidRPr="00B07D87">
        <w:rPr>
          <w:rFonts w:ascii="Times New Roman" w:hAnsi="Times New Roman" w:cs="Times New Roman"/>
          <w:b/>
          <w:bCs/>
          <w:color w:val="000000"/>
          <w:sz w:val="40"/>
          <w:szCs w:val="40"/>
        </w:rPr>
        <w:t>ЗА 201</w:t>
      </w:r>
      <w:r w:rsidR="00E91C67">
        <w:rPr>
          <w:rFonts w:ascii="Times New Roman" w:hAnsi="Times New Roman" w:cs="Times New Roman"/>
          <w:b/>
          <w:bCs/>
          <w:color w:val="000000"/>
          <w:sz w:val="40"/>
          <w:szCs w:val="40"/>
        </w:rPr>
        <w:t>8</w:t>
      </w:r>
      <w:r w:rsidRPr="00B07D87">
        <w:rPr>
          <w:rFonts w:ascii="Times New Roman" w:hAnsi="Times New Roman" w:cs="Times New Roman"/>
          <w:b/>
          <w:bCs/>
          <w:color w:val="000000"/>
          <w:sz w:val="40"/>
          <w:szCs w:val="40"/>
        </w:rPr>
        <w:t>. ГОДИНУ</w:t>
      </w: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2972FF" w:rsidRDefault="002972FF" w:rsidP="00B07D87">
      <w:pPr>
        <w:autoSpaceDE w:val="0"/>
        <w:autoSpaceDN w:val="0"/>
        <w:adjustRightInd w:val="0"/>
        <w:jc w:val="center"/>
        <w:rPr>
          <w:rFonts w:ascii="Times New Roman" w:hAnsi="Times New Roman" w:cs="Times New Roman"/>
          <w:b/>
          <w:bCs/>
          <w:color w:val="000000"/>
          <w:sz w:val="40"/>
          <w:szCs w:val="40"/>
        </w:rPr>
      </w:pPr>
    </w:p>
    <w:p w:rsidR="00B07D87" w:rsidRPr="00B07D87" w:rsidRDefault="00B07D87" w:rsidP="00B07D87">
      <w:pPr>
        <w:autoSpaceDE w:val="0"/>
        <w:autoSpaceDN w:val="0"/>
        <w:adjustRightInd w:val="0"/>
        <w:jc w:val="center"/>
        <w:rPr>
          <w:rFonts w:ascii="Times New Roman" w:hAnsi="Times New Roman" w:cs="Times New Roman"/>
          <w:color w:val="000000"/>
          <w:sz w:val="40"/>
          <w:szCs w:val="40"/>
        </w:rPr>
      </w:pPr>
    </w:p>
    <w:p w:rsidR="00B07D87" w:rsidRPr="00B07D87" w:rsidRDefault="007163E5" w:rsidP="00B07D87">
      <w:pPr>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27.</w:t>
      </w:r>
      <w:r w:rsidR="00F04E91">
        <w:rPr>
          <w:rFonts w:ascii="Times New Roman" w:hAnsi="Times New Roman" w:cs="Times New Roman"/>
          <w:b/>
          <w:bCs/>
          <w:color w:val="000000"/>
          <w:sz w:val="28"/>
          <w:szCs w:val="28"/>
        </w:rPr>
        <w:t xml:space="preserve">јул </w:t>
      </w:r>
      <w:r w:rsidR="00B07D87" w:rsidRPr="00B07D87">
        <w:rPr>
          <w:rFonts w:ascii="Times New Roman" w:hAnsi="Times New Roman" w:cs="Times New Roman"/>
          <w:b/>
          <w:bCs/>
          <w:color w:val="000000"/>
          <w:sz w:val="28"/>
          <w:szCs w:val="28"/>
        </w:rPr>
        <w:t>201</w:t>
      </w:r>
      <w:r w:rsidR="00E91C67">
        <w:rPr>
          <w:rFonts w:ascii="Times New Roman" w:hAnsi="Times New Roman" w:cs="Times New Roman"/>
          <w:b/>
          <w:bCs/>
          <w:color w:val="000000"/>
          <w:sz w:val="28"/>
          <w:szCs w:val="28"/>
        </w:rPr>
        <w:t>7</w:t>
      </w:r>
      <w:r w:rsidR="00B07D87" w:rsidRPr="00B07D87">
        <w:rPr>
          <w:rFonts w:ascii="Times New Roman" w:hAnsi="Times New Roman" w:cs="Times New Roman"/>
          <w:b/>
          <w:bCs/>
          <w:color w:val="000000"/>
          <w:sz w:val="28"/>
          <w:szCs w:val="28"/>
        </w:rPr>
        <w:t xml:space="preserve">. године </w:t>
      </w:r>
    </w:p>
    <w:p w:rsidR="00B07D87" w:rsidRDefault="00B07D87" w:rsidP="00B07D87">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Љубовија</w:t>
      </w:r>
    </w:p>
    <w:p w:rsidR="00FB48DF" w:rsidRPr="00FB48DF" w:rsidRDefault="00FB48DF" w:rsidP="00B07D87">
      <w:pPr>
        <w:autoSpaceDE w:val="0"/>
        <w:autoSpaceDN w:val="0"/>
        <w:adjustRightInd w:val="0"/>
        <w:jc w:val="center"/>
        <w:rPr>
          <w:rFonts w:ascii="Times New Roman" w:hAnsi="Times New Roman" w:cs="Times New Roman"/>
          <w:color w:val="000000"/>
          <w:sz w:val="28"/>
          <w:szCs w:val="28"/>
        </w:rPr>
      </w:pPr>
    </w:p>
    <w:p w:rsidR="00B07D87" w:rsidRDefault="00B07D87" w:rsidP="00B07D87">
      <w:pPr>
        <w:autoSpaceDE w:val="0"/>
        <w:autoSpaceDN w:val="0"/>
        <w:adjustRightInd w:val="0"/>
        <w:rPr>
          <w:rFonts w:ascii="Times New Roman" w:hAnsi="Times New Roman" w:cs="Times New Roman"/>
          <w:sz w:val="24"/>
          <w:szCs w:val="24"/>
        </w:rPr>
      </w:pPr>
    </w:p>
    <w:p w:rsidR="00B07D87" w:rsidRPr="00374601" w:rsidRDefault="00B07D87" w:rsidP="00055070">
      <w:pPr>
        <w:tabs>
          <w:tab w:val="left" w:pos="5745"/>
        </w:tabs>
        <w:jc w:val="center"/>
        <w:rPr>
          <w:rFonts w:ascii="Times New Roman" w:hAnsi="Times New Roman" w:cs="Times New Roman"/>
          <w:b/>
          <w:sz w:val="24"/>
          <w:szCs w:val="24"/>
        </w:rPr>
      </w:pPr>
      <w:r w:rsidRPr="00374601">
        <w:rPr>
          <w:rFonts w:ascii="Times New Roman" w:hAnsi="Times New Roman" w:cs="Times New Roman"/>
          <w:b/>
          <w:sz w:val="24"/>
          <w:szCs w:val="24"/>
        </w:rPr>
        <w:lastRenderedPageBreak/>
        <w:t>УВОД</w:t>
      </w:r>
    </w:p>
    <w:p w:rsidR="00B07D87" w:rsidRPr="00374601" w:rsidRDefault="00B07D87" w:rsidP="002972FF">
      <w:pPr>
        <w:tabs>
          <w:tab w:val="left" w:pos="5745"/>
        </w:tabs>
        <w:jc w:val="both"/>
        <w:rPr>
          <w:rFonts w:ascii="Times New Roman" w:hAnsi="Times New Roman" w:cs="Times New Roman"/>
          <w:sz w:val="24"/>
          <w:szCs w:val="24"/>
        </w:rPr>
      </w:pPr>
      <w:r w:rsidRPr="00374601">
        <w:rPr>
          <w:rFonts w:ascii="Times New Roman" w:hAnsi="Times New Roman" w:cs="Times New Roman"/>
          <w:sz w:val="24"/>
          <w:szCs w:val="24"/>
        </w:rPr>
        <w:t xml:space="preserve"> Овим Упутством се, у складу са Законом о буџетском систему и Фискалном стратегијом за 201</w:t>
      </w:r>
      <w:r w:rsidR="00E91C67">
        <w:rPr>
          <w:rFonts w:ascii="Times New Roman" w:hAnsi="Times New Roman" w:cs="Times New Roman"/>
          <w:sz w:val="24"/>
          <w:szCs w:val="24"/>
        </w:rPr>
        <w:t>7</w:t>
      </w:r>
      <w:r w:rsidRPr="00374601">
        <w:rPr>
          <w:rFonts w:ascii="Times New Roman" w:hAnsi="Times New Roman" w:cs="Times New Roman"/>
          <w:sz w:val="24"/>
          <w:szCs w:val="24"/>
        </w:rPr>
        <w:t>. годину са пројекцијама за 201</w:t>
      </w:r>
      <w:r w:rsidR="00E91C67">
        <w:rPr>
          <w:rFonts w:ascii="Times New Roman" w:hAnsi="Times New Roman" w:cs="Times New Roman"/>
          <w:sz w:val="24"/>
          <w:szCs w:val="24"/>
        </w:rPr>
        <w:t>8</w:t>
      </w:r>
      <w:r w:rsidRPr="00374601">
        <w:rPr>
          <w:rFonts w:ascii="Times New Roman" w:hAnsi="Times New Roman" w:cs="Times New Roman"/>
          <w:sz w:val="24"/>
          <w:szCs w:val="24"/>
        </w:rPr>
        <w:t>. и 201</w:t>
      </w:r>
      <w:r w:rsidR="00E91C67">
        <w:rPr>
          <w:rFonts w:ascii="Times New Roman" w:hAnsi="Times New Roman" w:cs="Times New Roman"/>
          <w:sz w:val="24"/>
          <w:szCs w:val="24"/>
        </w:rPr>
        <w:t>9</w:t>
      </w:r>
      <w:r w:rsidRPr="00374601">
        <w:rPr>
          <w:rFonts w:ascii="Times New Roman" w:hAnsi="Times New Roman" w:cs="Times New Roman"/>
          <w:sz w:val="24"/>
          <w:szCs w:val="24"/>
        </w:rPr>
        <w:t>. годину, достављају буџетским корисницима, основне смернице, оквири и рокови за припрему финансијских планова и захтева за средства у буџету општине у 201</w:t>
      </w:r>
      <w:r w:rsidR="00E91C67">
        <w:rPr>
          <w:rFonts w:ascii="Times New Roman" w:hAnsi="Times New Roman" w:cs="Times New Roman"/>
          <w:sz w:val="24"/>
          <w:szCs w:val="24"/>
        </w:rPr>
        <w:t>8</w:t>
      </w:r>
      <w:r w:rsidRPr="00374601">
        <w:rPr>
          <w:rFonts w:ascii="Times New Roman" w:hAnsi="Times New Roman" w:cs="Times New Roman"/>
          <w:sz w:val="24"/>
          <w:szCs w:val="24"/>
        </w:rPr>
        <w:t xml:space="preserve">. </w:t>
      </w:r>
    </w:p>
    <w:p w:rsidR="002972FF" w:rsidRPr="00374601" w:rsidRDefault="002972FF" w:rsidP="002972FF">
      <w:pPr>
        <w:tabs>
          <w:tab w:val="left" w:pos="5745"/>
        </w:tabs>
        <w:jc w:val="both"/>
        <w:rPr>
          <w:rFonts w:ascii="Times New Roman" w:hAnsi="Times New Roman" w:cs="Times New Roman"/>
          <w:sz w:val="24"/>
          <w:szCs w:val="24"/>
        </w:rPr>
      </w:pPr>
    </w:p>
    <w:p w:rsidR="00B07D87" w:rsidRPr="00374601" w:rsidRDefault="00B07D87" w:rsidP="0095650D">
      <w:pPr>
        <w:tabs>
          <w:tab w:val="left" w:pos="5745"/>
        </w:tabs>
        <w:jc w:val="center"/>
        <w:rPr>
          <w:rFonts w:ascii="Times New Roman" w:hAnsi="Times New Roman" w:cs="Times New Roman"/>
          <w:sz w:val="24"/>
          <w:szCs w:val="24"/>
        </w:rPr>
      </w:pPr>
      <w:r w:rsidRPr="00374601">
        <w:rPr>
          <w:rFonts w:ascii="Times New Roman" w:hAnsi="Times New Roman" w:cs="Times New Roman"/>
          <w:sz w:val="24"/>
          <w:szCs w:val="24"/>
        </w:rPr>
        <w:t>З</w:t>
      </w:r>
      <w:r w:rsidRPr="00374601">
        <w:rPr>
          <w:rFonts w:ascii="Times New Roman" w:hAnsi="Times New Roman" w:cs="Times New Roman"/>
          <w:b/>
          <w:bCs/>
          <w:sz w:val="24"/>
          <w:szCs w:val="24"/>
        </w:rPr>
        <w:t>аконски основ</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Поступак припреме и доношења буџета локалне власти уређен је Законoм о буџетском систему („Сл.гласник РС", број 54/2009, 73/2010, 101/2010, 101/2011, 93/2012, 62/</w:t>
      </w:r>
      <w:r w:rsidR="002972FF" w:rsidRPr="00374601">
        <w:rPr>
          <w:rFonts w:ascii="Times New Roman" w:hAnsi="Times New Roman" w:cs="Times New Roman"/>
          <w:sz w:val="24"/>
          <w:szCs w:val="24"/>
        </w:rPr>
        <w:t xml:space="preserve">2013, 63/2013-испр., 108/2013, </w:t>
      </w:r>
      <w:r w:rsidRPr="00374601">
        <w:rPr>
          <w:rFonts w:ascii="Times New Roman" w:hAnsi="Times New Roman" w:cs="Times New Roman"/>
          <w:sz w:val="24"/>
          <w:szCs w:val="24"/>
        </w:rPr>
        <w:t>142/2014</w:t>
      </w:r>
      <w:r w:rsidR="00E91C67">
        <w:rPr>
          <w:rFonts w:ascii="Times New Roman" w:hAnsi="Times New Roman" w:cs="Times New Roman"/>
          <w:sz w:val="24"/>
          <w:szCs w:val="24"/>
        </w:rPr>
        <w:t>,</w:t>
      </w:r>
      <w:r w:rsidR="002972FF" w:rsidRPr="00374601">
        <w:rPr>
          <w:rFonts w:ascii="Times New Roman" w:hAnsi="Times New Roman" w:cs="Times New Roman"/>
          <w:sz w:val="24"/>
          <w:szCs w:val="24"/>
        </w:rPr>
        <w:t xml:space="preserve"> 103/15</w:t>
      </w:r>
      <w:r w:rsidR="00F04E91">
        <w:rPr>
          <w:rFonts w:ascii="Times New Roman" w:hAnsi="Times New Roman" w:cs="Times New Roman"/>
          <w:sz w:val="24"/>
          <w:szCs w:val="24"/>
        </w:rPr>
        <w:t xml:space="preserve"> и 99/2016</w:t>
      </w:r>
      <w:r w:rsidRPr="00374601">
        <w:rPr>
          <w:rFonts w:ascii="Times New Roman" w:hAnsi="Times New Roman" w:cs="Times New Roman"/>
          <w:sz w:val="24"/>
          <w:szCs w:val="24"/>
        </w:rPr>
        <w:t xml:space="preserve">). На основу члана 31. Закона, по буџетском календару, министар финансија доставља Упутство за припрему Oдлуке о буџету локалне власти као и Фискалну стратегију до 5. јула. </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Уколико одлука о буџету локалне власти буде супротна смерницама из упутства које доставља Министар у делу којим се локалној власти дају смернице за планирање масе средстава за плате, броја запослених и субвенција , министар може привремено обуставити пренос трансферних средстава из буџета Републике Србије, до момента док се одлука о буџету не усклади са упутством. </w:t>
      </w:r>
    </w:p>
    <w:p w:rsidR="00B07D87" w:rsidRPr="00374601" w:rsidRDefault="00B07D8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40. Закона о буџетском систему предвиђено је да по добијању Фискалне стратегије, локални орган управе надлежан за финансије доставља директним и индиректним корисницима буџета Упутство за припрему буџета, које треба да садржи: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основне економске претпоставке и смернице за припрему нацрта буџета локалне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опис планиране политике локалне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процену прихода и примања и расхода и издатака буџета локалне власти за буџетску и наредне две фискалне године;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обим средстава које може да садржи предлог финансијских плановима директних и индиректних буџетских корисника за буџетску годину, са пројекцијама за наредне две фискалне године;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смернице за припрему средњорочних планова директних корисника средстава буџета локалних власти; </w:t>
      </w:r>
    </w:p>
    <w:p w:rsidR="00B07D87" w:rsidRPr="00374601" w:rsidRDefault="00B07D87" w:rsidP="00953362">
      <w:pPr>
        <w:numPr>
          <w:ilvl w:val="0"/>
          <w:numId w:val="1"/>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поступак и динамику припреме буџета и предлога финансијских планова директних буџетских корисника. </w:t>
      </w:r>
    </w:p>
    <w:p w:rsidR="00B07D87" w:rsidRPr="00374601" w:rsidRDefault="00B07D8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41. Закона дефинисано је да су индиректни корисници средстава буџета локалне власти обавезни да припреме предлог финансијског плана на основу смерница које се односе на буџет локалне власти. </w:t>
      </w:r>
    </w:p>
    <w:p w:rsidR="00B07D87" w:rsidRDefault="00B07D8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Директни корисници обавезни су да, у складу са смерницама и роковима, траже од индиректних корисника за које су одговорни, да доставе податке неопходне за израду предлога финансијског плана директног буџетског корисника. Истим чланом је предвиђено и да локални орган управе надлежан за финансије може да тражи непосредно од индиректних буџетских корисника податке о финансирању који су неопходни за припрему предлога буџета локалне власти. </w:t>
      </w:r>
    </w:p>
    <w:p w:rsidR="00F04E91" w:rsidRDefault="00F04E91" w:rsidP="00953362">
      <w:pPr>
        <w:autoSpaceDE w:val="0"/>
        <w:autoSpaceDN w:val="0"/>
        <w:adjustRightInd w:val="0"/>
        <w:jc w:val="both"/>
        <w:rPr>
          <w:rFonts w:ascii="Times New Roman" w:hAnsi="Times New Roman" w:cs="Times New Roman"/>
          <w:sz w:val="24"/>
          <w:szCs w:val="24"/>
        </w:rPr>
      </w:pPr>
    </w:p>
    <w:p w:rsidR="00B07D87" w:rsidRDefault="00B07D87" w:rsidP="00953362">
      <w:pPr>
        <w:autoSpaceDE w:val="0"/>
        <w:autoSpaceDN w:val="0"/>
        <w:adjustRightInd w:val="0"/>
        <w:ind w:firstLine="720"/>
        <w:jc w:val="both"/>
        <w:rPr>
          <w:rFonts w:ascii="Times New Roman" w:hAnsi="Times New Roman" w:cs="Times New Roman"/>
          <w:b/>
          <w:sz w:val="24"/>
          <w:szCs w:val="24"/>
        </w:rPr>
      </w:pPr>
      <w:r w:rsidRPr="00374601">
        <w:rPr>
          <w:rFonts w:ascii="Times New Roman" w:hAnsi="Times New Roman" w:cs="Times New Roman"/>
          <w:b/>
          <w:sz w:val="24"/>
          <w:szCs w:val="24"/>
        </w:rPr>
        <w:t>OСНОВНЕ ЕКОНОМСКЕ ПРЕТПОСТАВКЕ И СМЕРНИЦЕ ЗА ПРИПРЕМУ НАЦРТА БУЏЕТА ОПШТИНЕ ЗА НАРЕДНУ ФИСКАЛНУ ГОДИНУ</w:t>
      </w:r>
    </w:p>
    <w:p w:rsidR="002972FF" w:rsidRPr="00F04E91" w:rsidRDefault="002972FF" w:rsidP="002972FF">
      <w:pPr>
        <w:autoSpaceDE w:val="0"/>
        <w:autoSpaceDN w:val="0"/>
        <w:adjustRightInd w:val="0"/>
        <w:ind w:firstLine="708"/>
        <w:jc w:val="both"/>
        <w:rPr>
          <w:rFonts w:ascii="Times New Roman" w:hAnsi="Times New Roman" w:cs="Times New Roman"/>
          <w:b/>
          <w:sz w:val="24"/>
          <w:szCs w:val="24"/>
        </w:rPr>
      </w:pPr>
      <w:r w:rsidRPr="00F04E91">
        <w:rPr>
          <w:rFonts w:ascii="Times New Roman" w:hAnsi="Times New Roman" w:cs="Times New Roman"/>
          <w:b/>
          <w:sz w:val="24"/>
          <w:szCs w:val="24"/>
          <w:lang w:val="sr-Cyrl-CS"/>
        </w:rPr>
        <w:t>Обзиром да Фискална стратегија за 201</w:t>
      </w:r>
      <w:r w:rsidR="00F04E91">
        <w:rPr>
          <w:rFonts w:ascii="Times New Roman" w:hAnsi="Times New Roman" w:cs="Times New Roman"/>
          <w:b/>
          <w:sz w:val="24"/>
          <w:szCs w:val="24"/>
          <w:lang w:val="sr-Cyrl-CS"/>
        </w:rPr>
        <w:t>8</w:t>
      </w:r>
      <w:r w:rsidRPr="00F04E91">
        <w:rPr>
          <w:rFonts w:ascii="Times New Roman" w:hAnsi="Times New Roman" w:cs="Times New Roman"/>
          <w:b/>
          <w:sz w:val="24"/>
          <w:szCs w:val="24"/>
          <w:lang w:val="sr-Cyrl-CS"/>
        </w:rPr>
        <w:t>. годину још није објављена од стране надлежног органа,</w:t>
      </w:r>
      <w:r w:rsidRPr="00F04E91">
        <w:rPr>
          <w:rFonts w:ascii="Times New Roman" w:hAnsi="Times New Roman" w:cs="Times New Roman"/>
          <w:b/>
          <w:sz w:val="24"/>
          <w:szCs w:val="24"/>
        </w:rPr>
        <w:t xml:space="preserve"> основне смернице у овом Упутству дате су на</w:t>
      </w:r>
      <w:r w:rsidR="00F04E91">
        <w:rPr>
          <w:rFonts w:ascii="Times New Roman" w:hAnsi="Times New Roman" w:cs="Times New Roman"/>
          <w:b/>
          <w:sz w:val="24"/>
          <w:szCs w:val="24"/>
        </w:rPr>
        <w:t xml:space="preserve"> </w:t>
      </w:r>
      <w:r w:rsidRPr="00F04E91">
        <w:rPr>
          <w:rFonts w:ascii="Times New Roman" w:hAnsi="Times New Roman" w:cs="Times New Roman"/>
          <w:b/>
          <w:sz w:val="24"/>
          <w:szCs w:val="24"/>
        </w:rPr>
        <w:t>основу члана 27е Закона о буџетском сист</w:t>
      </w:r>
      <w:r w:rsidR="00F04E91">
        <w:rPr>
          <w:rFonts w:ascii="Times New Roman" w:hAnsi="Times New Roman" w:cs="Times New Roman"/>
          <w:b/>
          <w:sz w:val="24"/>
          <w:szCs w:val="24"/>
        </w:rPr>
        <w:t>ему, Фискалне стратегије за 2017. са пројекцијама за 2018</w:t>
      </w:r>
      <w:r w:rsidRPr="00F04E91">
        <w:rPr>
          <w:rFonts w:ascii="Times New Roman" w:hAnsi="Times New Roman" w:cs="Times New Roman"/>
          <w:b/>
          <w:sz w:val="24"/>
          <w:szCs w:val="24"/>
        </w:rPr>
        <w:t>. и 201</w:t>
      </w:r>
      <w:r w:rsidR="00F04E91">
        <w:rPr>
          <w:rFonts w:ascii="Times New Roman" w:hAnsi="Times New Roman" w:cs="Times New Roman"/>
          <w:b/>
          <w:sz w:val="24"/>
          <w:szCs w:val="24"/>
        </w:rPr>
        <w:t>9</w:t>
      </w:r>
      <w:r w:rsidRPr="00F04E91">
        <w:rPr>
          <w:rFonts w:ascii="Times New Roman" w:hAnsi="Times New Roman" w:cs="Times New Roman"/>
          <w:b/>
          <w:sz w:val="24"/>
          <w:szCs w:val="24"/>
        </w:rPr>
        <w:t>. годину, Упутства за</w:t>
      </w:r>
      <w:r w:rsidR="007D0190">
        <w:rPr>
          <w:rFonts w:ascii="Times New Roman" w:hAnsi="Times New Roman" w:cs="Times New Roman"/>
          <w:b/>
          <w:sz w:val="24"/>
          <w:szCs w:val="24"/>
        </w:rPr>
        <w:t xml:space="preserve"> </w:t>
      </w:r>
      <w:r w:rsidRPr="00F04E91">
        <w:rPr>
          <w:rFonts w:ascii="Times New Roman" w:hAnsi="Times New Roman" w:cs="Times New Roman"/>
          <w:b/>
          <w:sz w:val="24"/>
          <w:szCs w:val="24"/>
        </w:rPr>
        <w:t>припре</w:t>
      </w:r>
      <w:r w:rsidR="00F04E91">
        <w:rPr>
          <w:rFonts w:ascii="Times New Roman" w:hAnsi="Times New Roman" w:cs="Times New Roman"/>
          <w:b/>
          <w:sz w:val="24"/>
          <w:szCs w:val="24"/>
        </w:rPr>
        <w:t>му буџета локалне власти за 2017</w:t>
      </w:r>
      <w:r w:rsidRPr="00F04E91">
        <w:rPr>
          <w:rFonts w:ascii="Times New Roman" w:hAnsi="Times New Roman" w:cs="Times New Roman"/>
          <w:b/>
          <w:sz w:val="24"/>
          <w:szCs w:val="24"/>
        </w:rPr>
        <w:t>. годину и пројекцијама за 201</w:t>
      </w:r>
      <w:r w:rsidR="00F04E91">
        <w:rPr>
          <w:rFonts w:ascii="Times New Roman" w:hAnsi="Times New Roman" w:cs="Times New Roman"/>
          <w:b/>
          <w:sz w:val="24"/>
          <w:szCs w:val="24"/>
        </w:rPr>
        <w:t>8</w:t>
      </w:r>
      <w:r w:rsidRPr="00F04E91">
        <w:rPr>
          <w:rFonts w:ascii="Times New Roman" w:hAnsi="Times New Roman" w:cs="Times New Roman"/>
          <w:b/>
          <w:sz w:val="24"/>
          <w:szCs w:val="24"/>
        </w:rPr>
        <w:t>. и 201</w:t>
      </w:r>
      <w:r w:rsidR="00F04E91">
        <w:rPr>
          <w:rFonts w:ascii="Times New Roman" w:hAnsi="Times New Roman" w:cs="Times New Roman"/>
          <w:b/>
          <w:sz w:val="24"/>
          <w:szCs w:val="24"/>
        </w:rPr>
        <w:t xml:space="preserve">9. годину, </w:t>
      </w:r>
      <w:r w:rsidRPr="00F04E91">
        <w:rPr>
          <w:rFonts w:ascii="Times New Roman" w:hAnsi="Times New Roman" w:cs="Times New Roman"/>
          <w:b/>
          <w:sz w:val="24"/>
          <w:szCs w:val="24"/>
        </w:rPr>
        <w:t xml:space="preserve"> Упутства за припрему програмског</w:t>
      </w:r>
      <w:r w:rsidR="00F04E91">
        <w:rPr>
          <w:rFonts w:ascii="Times New Roman" w:hAnsi="Times New Roman" w:cs="Times New Roman"/>
          <w:b/>
          <w:sz w:val="24"/>
          <w:szCs w:val="24"/>
        </w:rPr>
        <w:t xml:space="preserve"> </w:t>
      </w:r>
      <w:r w:rsidRPr="00F04E91">
        <w:rPr>
          <w:rFonts w:ascii="Times New Roman" w:hAnsi="Times New Roman" w:cs="Times New Roman"/>
          <w:b/>
          <w:sz w:val="24"/>
          <w:szCs w:val="24"/>
        </w:rPr>
        <w:t>буџета</w:t>
      </w:r>
      <w:r w:rsidR="00F04E91">
        <w:rPr>
          <w:rFonts w:ascii="Times New Roman" w:hAnsi="Times New Roman" w:cs="Times New Roman"/>
          <w:b/>
          <w:sz w:val="24"/>
          <w:szCs w:val="24"/>
        </w:rPr>
        <w:t xml:space="preserve"> и Упутства за праћење и извештавање о учинку програма</w:t>
      </w:r>
      <w:r w:rsidRPr="00F04E91">
        <w:rPr>
          <w:rFonts w:ascii="Times New Roman" w:hAnsi="Times New Roman" w:cs="Times New Roman"/>
          <w:b/>
          <w:sz w:val="24"/>
          <w:szCs w:val="24"/>
        </w:rPr>
        <w:t>.</w:t>
      </w:r>
    </w:p>
    <w:p w:rsidR="002972FF" w:rsidRPr="00374601" w:rsidRDefault="002972FF" w:rsidP="002972FF">
      <w:pPr>
        <w:autoSpaceDE w:val="0"/>
        <w:autoSpaceDN w:val="0"/>
        <w:adjustRightInd w:val="0"/>
        <w:ind w:firstLine="708"/>
        <w:jc w:val="both"/>
        <w:rPr>
          <w:rFonts w:ascii="Times New Roman" w:hAnsi="Times New Roman" w:cs="Times New Roman"/>
          <w:sz w:val="24"/>
          <w:szCs w:val="24"/>
        </w:rPr>
      </w:pPr>
      <w:r w:rsidRPr="00374601">
        <w:rPr>
          <w:rFonts w:ascii="Times New Roman" w:hAnsi="Times New Roman" w:cs="Times New Roman"/>
          <w:sz w:val="24"/>
          <w:szCs w:val="24"/>
        </w:rPr>
        <w:lastRenderedPageBreak/>
        <w:t>Фискална стратегија за 20</w:t>
      </w:r>
      <w:r w:rsidR="00F04E91">
        <w:rPr>
          <w:rFonts w:ascii="Times New Roman" w:hAnsi="Times New Roman" w:cs="Times New Roman"/>
          <w:sz w:val="24"/>
          <w:szCs w:val="24"/>
        </w:rPr>
        <w:t>17. годину са пројекцијама за 2018</w:t>
      </w:r>
      <w:r w:rsidRPr="00374601">
        <w:rPr>
          <w:rFonts w:ascii="Times New Roman" w:hAnsi="Times New Roman" w:cs="Times New Roman"/>
          <w:sz w:val="24"/>
          <w:szCs w:val="24"/>
        </w:rPr>
        <w:t>. и 201</w:t>
      </w:r>
      <w:r w:rsidR="00F04E91">
        <w:rPr>
          <w:rFonts w:ascii="Times New Roman" w:hAnsi="Times New Roman" w:cs="Times New Roman"/>
          <w:sz w:val="24"/>
          <w:szCs w:val="24"/>
        </w:rPr>
        <w:t>9</w:t>
      </w:r>
      <w:r w:rsidRPr="00374601">
        <w:rPr>
          <w:rFonts w:ascii="Times New Roman" w:hAnsi="Times New Roman" w:cs="Times New Roman"/>
          <w:sz w:val="24"/>
          <w:szCs w:val="24"/>
        </w:rPr>
        <w:t>. годину (у даљем тексту Фискална стратегија) је</w:t>
      </w:r>
      <w:r w:rsidR="00F04E91">
        <w:rPr>
          <w:rFonts w:ascii="Times New Roman" w:hAnsi="Times New Roman" w:cs="Times New Roman"/>
          <w:sz w:val="24"/>
          <w:szCs w:val="24"/>
        </w:rPr>
        <w:t xml:space="preserve"> </w:t>
      </w:r>
      <w:r w:rsidRPr="00374601">
        <w:rPr>
          <w:rFonts w:ascii="Times New Roman" w:hAnsi="Times New Roman" w:cs="Times New Roman"/>
          <w:sz w:val="24"/>
          <w:szCs w:val="24"/>
        </w:rPr>
        <w:t>документ средњорочног планирања буџета у који су укључене средњорочне анализе и пројекције републичког буџета, буџета</w:t>
      </w:r>
      <w:r w:rsidR="00F04E91">
        <w:rPr>
          <w:rFonts w:ascii="Times New Roman" w:hAnsi="Times New Roman" w:cs="Times New Roman"/>
          <w:sz w:val="24"/>
          <w:szCs w:val="24"/>
        </w:rPr>
        <w:t xml:space="preserve"> </w:t>
      </w:r>
      <w:r w:rsidRPr="00374601">
        <w:rPr>
          <w:rFonts w:ascii="Times New Roman" w:hAnsi="Times New Roman" w:cs="Times New Roman"/>
          <w:sz w:val="24"/>
          <w:szCs w:val="24"/>
        </w:rPr>
        <w:t xml:space="preserve">општина и градова и </w:t>
      </w:r>
      <w:r w:rsidRPr="00374601">
        <w:rPr>
          <w:rFonts w:ascii="Times New Roman" w:hAnsi="Times New Roman" w:cs="Times New Roman"/>
          <w:sz w:val="24"/>
          <w:szCs w:val="24"/>
          <w:lang w:val="sr-Cyrl-CS"/>
        </w:rPr>
        <w:t>в</w:t>
      </w:r>
      <w:r w:rsidRPr="00374601">
        <w:rPr>
          <w:rFonts w:ascii="Times New Roman" w:hAnsi="Times New Roman" w:cs="Times New Roman"/>
          <w:sz w:val="24"/>
          <w:szCs w:val="24"/>
        </w:rPr>
        <w:t>анбуџетских фондова и саставни је део планирања буџета за сваку наредну годину.</w:t>
      </w:r>
    </w:p>
    <w:p w:rsidR="002972FF" w:rsidRPr="00374601" w:rsidRDefault="007D0190" w:rsidP="002972F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2972FF" w:rsidRPr="00374601">
        <w:rPr>
          <w:rFonts w:ascii="Times New Roman" w:hAnsi="Times New Roman" w:cs="Times New Roman"/>
          <w:sz w:val="24"/>
          <w:szCs w:val="24"/>
        </w:rPr>
        <w:t xml:space="preserve">Основни циљеви </w:t>
      </w:r>
      <w:r w:rsidR="002972FF" w:rsidRPr="00374601">
        <w:rPr>
          <w:rFonts w:ascii="Times New Roman" w:hAnsi="Times New Roman" w:cs="Times New Roman"/>
          <w:sz w:val="24"/>
          <w:szCs w:val="24"/>
          <w:u w:val="single"/>
        </w:rPr>
        <w:t>економске политике</w:t>
      </w:r>
      <w:r w:rsidR="002972FF" w:rsidRPr="00374601">
        <w:rPr>
          <w:rFonts w:ascii="Times New Roman" w:hAnsi="Times New Roman" w:cs="Times New Roman"/>
          <w:sz w:val="24"/>
          <w:szCs w:val="24"/>
        </w:rPr>
        <w:t xml:space="preserve"> у наредном средњорочном периоду фокусирани су на: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Наставак спровођења мера фискалне консолидације, одржавање макроекономске стабилности уз заустављање даљег раста дуга и успостављање тренда његовог смањења;</w:t>
      </w:r>
    </w:p>
    <w:p w:rsidR="002972FF" w:rsidRPr="00374601" w:rsidRDefault="002972FF" w:rsidP="002972FF">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Јачање стабилности и отпорности финансијског сектора решавањем питања проблематичних кредита; и</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Отклањање препрека привредном расту и подизању конкурентности спровођењем свеобухватних структурних реформи и наставак примене структурних реформи, посебно у домену јавних предузећа, као и подизање ефикасности јавног сектора.</w:t>
      </w:r>
    </w:p>
    <w:p w:rsidR="007D0190" w:rsidRPr="007D0190" w:rsidRDefault="007D0190" w:rsidP="007D0190">
      <w:pPr>
        <w:autoSpaceDE w:val="0"/>
        <w:autoSpaceDN w:val="0"/>
        <w:adjustRightInd w:val="0"/>
        <w:ind w:left="420"/>
        <w:jc w:val="both"/>
        <w:rPr>
          <w:rFonts w:ascii="Times New Roman" w:hAnsi="Times New Roman" w:cs="Times New Roman"/>
          <w:sz w:val="24"/>
          <w:szCs w:val="24"/>
        </w:rPr>
      </w:pPr>
    </w:p>
    <w:p w:rsidR="007D0190" w:rsidRPr="007D0190" w:rsidRDefault="007D0190" w:rsidP="007D0190">
      <w:pPr>
        <w:pStyle w:val="ListParagraph"/>
        <w:autoSpaceDE w:val="0"/>
        <w:autoSpaceDN w:val="0"/>
        <w:adjustRightInd w:val="0"/>
        <w:ind w:left="420"/>
        <w:jc w:val="both"/>
        <w:rPr>
          <w:rFonts w:ascii="Times New Roman" w:hAnsi="Times New Roman" w:cs="Times New Roman"/>
          <w:sz w:val="24"/>
          <w:szCs w:val="24"/>
        </w:rPr>
      </w:pPr>
      <w:r w:rsidRPr="007D0190">
        <w:rPr>
          <w:rFonts w:ascii="Times New Roman" w:hAnsi="Times New Roman" w:cs="Times New Roman"/>
          <w:sz w:val="24"/>
          <w:szCs w:val="24"/>
        </w:rPr>
        <w:t xml:space="preserve">Основни циљеви и приоритети </w:t>
      </w:r>
      <w:r w:rsidRPr="007D0190">
        <w:rPr>
          <w:rFonts w:ascii="Times New Roman" w:hAnsi="Times New Roman" w:cs="Times New Roman"/>
          <w:bCs/>
          <w:sz w:val="24"/>
          <w:szCs w:val="24"/>
          <w:u w:val="single"/>
        </w:rPr>
        <w:t xml:space="preserve">фискалне политике </w:t>
      </w:r>
      <w:r w:rsidRPr="007D0190">
        <w:rPr>
          <w:rFonts w:ascii="Times New Roman" w:hAnsi="Times New Roman" w:cs="Times New Roman"/>
          <w:sz w:val="24"/>
          <w:szCs w:val="24"/>
        </w:rPr>
        <w:t>у наредном периоду су:</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оснаживање удела јавних расхода, фискалног дефицита и јавног дуга у БДП;</w:t>
      </w:r>
    </w:p>
    <w:p w:rsidR="007D0190"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јачање пореске дисциплине која подразумева побољшање система наплате пореза и смањење сиве економије;</w:t>
      </w:r>
    </w:p>
    <w:p w:rsidR="002972FF" w:rsidRPr="007D0190" w:rsidRDefault="002972FF" w:rsidP="007D0190">
      <w:pPr>
        <w:numPr>
          <w:ilvl w:val="0"/>
          <w:numId w:val="8"/>
        </w:numPr>
        <w:autoSpaceDE w:val="0"/>
        <w:autoSpaceDN w:val="0"/>
        <w:adjustRightInd w:val="0"/>
        <w:jc w:val="both"/>
        <w:rPr>
          <w:rFonts w:ascii="Times New Roman" w:hAnsi="Times New Roman" w:cs="Times New Roman"/>
          <w:sz w:val="24"/>
          <w:szCs w:val="24"/>
        </w:rPr>
      </w:pPr>
      <w:r w:rsidRPr="007D0190">
        <w:rPr>
          <w:rFonts w:ascii="Times New Roman" w:hAnsi="Times New Roman" w:cs="Times New Roman"/>
          <w:sz w:val="24"/>
          <w:szCs w:val="24"/>
        </w:rPr>
        <w:t>јачање дугорочне фискалне одрживости кроз спровођење структурних реформи, посебно реформи јавног сектора.</w:t>
      </w:r>
    </w:p>
    <w:p w:rsidR="002972FF" w:rsidRPr="00374601" w:rsidRDefault="007D0190" w:rsidP="007D0190">
      <w:pPr>
        <w:autoSpaceDE w:val="0"/>
        <w:autoSpaceDN w:val="0"/>
        <w:adjustRightInd w:val="0"/>
        <w:jc w:val="both"/>
        <w:rPr>
          <w:rFonts w:ascii="Times New Roman" w:hAnsi="Times New Roman" w:cs="Times New Roman"/>
          <w:sz w:val="24"/>
          <w:szCs w:val="24"/>
          <w:lang w:val="sr-Cyrl-CS"/>
        </w:rPr>
      </w:pPr>
      <w:r>
        <w:rPr>
          <w:rFonts w:ascii="Times New Roman" w:hAnsi="Times New Roman" w:cs="Times New Roman"/>
          <w:sz w:val="24"/>
          <w:szCs w:val="24"/>
        </w:rPr>
        <w:t xml:space="preserve">            </w:t>
      </w:r>
      <w:r w:rsidR="002972FF" w:rsidRPr="00374601">
        <w:rPr>
          <w:rFonts w:ascii="Times New Roman" w:hAnsi="Times New Roman" w:cs="Times New Roman"/>
          <w:sz w:val="24"/>
          <w:szCs w:val="24"/>
        </w:rPr>
        <w:t xml:space="preserve">У даљем тексту дајемо преглед појединих макроекономских показатеља </w:t>
      </w:r>
      <w:r w:rsidR="002972FF" w:rsidRPr="00374601">
        <w:rPr>
          <w:rFonts w:ascii="Times New Roman" w:hAnsi="Times New Roman" w:cs="Times New Roman"/>
          <w:sz w:val="24"/>
          <w:szCs w:val="24"/>
          <w:lang w:val="sr-Cyrl-CS"/>
        </w:rPr>
        <w:t>из Фискалне стратегије за 201</w:t>
      </w:r>
      <w:r w:rsidR="00F04E91">
        <w:rPr>
          <w:rFonts w:ascii="Times New Roman" w:hAnsi="Times New Roman" w:cs="Times New Roman"/>
          <w:sz w:val="24"/>
          <w:szCs w:val="24"/>
          <w:lang w:val="sr-Cyrl-CS"/>
        </w:rPr>
        <w:t>7</w:t>
      </w:r>
      <w:r w:rsidR="002972FF" w:rsidRPr="00374601">
        <w:rPr>
          <w:rFonts w:ascii="Times New Roman" w:hAnsi="Times New Roman" w:cs="Times New Roman"/>
          <w:sz w:val="24"/>
          <w:szCs w:val="24"/>
          <w:lang w:val="sr-Cyrl-CS"/>
        </w:rPr>
        <w:t xml:space="preserve">. </w:t>
      </w:r>
      <w:r w:rsidR="002972FF" w:rsidRPr="00374601">
        <w:rPr>
          <w:rFonts w:ascii="Times New Roman" w:hAnsi="Times New Roman" w:cs="Times New Roman"/>
          <w:sz w:val="24"/>
          <w:szCs w:val="24"/>
        </w:rPr>
        <w:t xml:space="preserve">који су од значаја за израду буџета општине </w:t>
      </w:r>
      <w:r w:rsidR="001D707F">
        <w:rPr>
          <w:rFonts w:ascii="Times New Roman" w:hAnsi="Times New Roman" w:cs="Times New Roman"/>
          <w:sz w:val="24"/>
          <w:szCs w:val="24"/>
          <w:lang w:val="sr-Cyrl-CS"/>
        </w:rPr>
        <w:t>Љубовија</w:t>
      </w:r>
      <w:r w:rsidR="00F04E91">
        <w:rPr>
          <w:rFonts w:ascii="Times New Roman" w:hAnsi="Times New Roman" w:cs="Times New Roman"/>
          <w:sz w:val="24"/>
          <w:szCs w:val="24"/>
        </w:rPr>
        <w:t xml:space="preserve"> за 2018</w:t>
      </w:r>
      <w:r w:rsidR="002972FF" w:rsidRPr="00374601">
        <w:rPr>
          <w:rFonts w:ascii="Times New Roman" w:hAnsi="Times New Roman" w:cs="Times New Roman"/>
          <w:sz w:val="24"/>
          <w:szCs w:val="24"/>
        </w:rPr>
        <w:t xml:space="preserve">. </w:t>
      </w:r>
      <w:r w:rsidR="002972FF" w:rsidRPr="00374601">
        <w:rPr>
          <w:rFonts w:ascii="Times New Roman" w:hAnsi="Times New Roman" w:cs="Times New Roman"/>
          <w:sz w:val="24"/>
          <w:szCs w:val="24"/>
          <w:lang w:val="sr-Cyrl-CS"/>
        </w:rPr>
        <w:t xml:space="preserve">годину </w:t>
      </w:r>
      <w:r w:rsidR="002972FF" w:rsidRPr="00374601">
        <w:rPr>
          <w:rFonts w:ascii="Times New Roman" w:hAnsi="Times New Roman" w:cs="Times New Roman"/>
          <w:sz w:val="24"/>
          <w:szCs w:val="24"/>
        </w:rPr>
        <w:t>и наредне две фискалне године.</w:t>
      </w:r>
    </w:p>
    <w:p w:rsidR="00E119F6" w:rsidRPr="00374601" w:rsidRDefault="00E119F6" w:rsidP="00953362">
      <w:pPr>
        <w:autoSpaceDE w:val="0"/>
        <w:autoSpaceDN w:val="0"/>
        <w:adjustRightInd w:val="0"/>
        <w:ind w:firstLine="720"/>
        <w:jc w:val="both"/>
        <w:rPr>
          <w:rFonts w:ascii="Times New Roman" w:hAnsi="Times New Roman" w:cs="Times New Roman"/>
          <w:sz w:val="24"/>
          <w:szCs w:val="24"/>
        </w:rPr>
      </w:pPr>
    </w:p>
    <w:p w:rsidR="00B07D87" w:rsidRPr="00374601" w:rsidRDefault="00DC42FA" w:rsidP="00DC42FA">
      <w:pPr>
        <w:autoSpaceDE w:val="0"/>
        <w:autoSpaceDN w:val="0"/>
        <w:adjustRightInd w:val="0"/>
        <w:ind w:firstLine="720"/>
        <w:jc w:val="both"/>
        <w:rPr>
          <w:rFonts w:ascii="Times New Roman" w:hAnsi="Times New Roman" w:cs="Times New Roman"/>
          <w:b/>
          <w:bCs/>
          <w:color w:val="000000"/>
          <w:sz w:val="24"/>
          <w:szCs w:val="24"/>
        </w:rPr>
      </w:pPr>
      <w:r w:rsidRPr="00374601">
        <w:rPr>
          <w:rFonts w:ascii="Times New Roman" w:hAnsi="Times New Roman" w:cs="Times New Roman"/>
          <w:b/>
          <w:bCs/>
          <w:color w:val="000000"/>
          <w:sz w:val="24"/>
          <w:szCs w:val="24"/>
        </w:rPr>
        <w:t xml:space="preserve">Пројекција основних макроекономских показатеља Републике Србије </w:t>
      </w:r>
      <w:r w:rsidR="002972FF" w:rsidRPr="00374601">
        <w:rPr>
          <w:rFonts w:ascii="Times New Roman" w:hAnsi="Times New Roman" w:cs="Times New Roman"/>
          <w:b/>
          <w:bCs/>
          <w:color w:val="000000"/>
          <w:sz w:val="24"/>
          <w:szCs w:val="24"/>
        </w:rPr>
        <w:t>у периоду од 201</w:t>
      </w:r>
      <w:r w:rsidR="00652573">
        <w:rPr>
          <w:rFonts w:ascii="Times New Roman" w:hAnsi="Times New Roman" w:cs="Times New Roman"/>
          <w:b/>
          <w:bCs/>
          <w:color w:val="000000"/>
          <w:sz w:val="24"/>
          <w:szCs w:val="24"/>
        </w:rPr>
        <w:t>8-2020</w:t>
      </w:r>
      <w:r w:rsidR="002972FF" w:rsidRPr="00374601">
        <w:rPr>
          <w:rFonts w:ascii="Times New Roman" w:hAnsi="Times New Roman" w:cs="Times New Roman"/>
          <w:b/>
          <w:bCs/>
          <w:color w:val="000000"/>
          <w:sz w:val="24"/>
          <w:szCs w:val="24"/>
        </w:rPr>
        <w:t>. године</w:t>
      </w:r>
      <w:r w:rsidRPr="00374601">
        <w:rPr>
          <w:rFonts w:ascii="Times New Roman" w:hAnsi="Times New Roman" w:cs="Times New Roman"/>
          <w:b/>
          <w:bCs/>
          <w:color w:val="000000"/>
          <w:sz w:val="24"/>
          <w:szCs w:val="24"/>
        </w:rPr>
        <w:t xml:space="preserve">. </w:t>
      </w:r>
    </w:p>
    <w:tbl>
      <w:tblPr>
        <w:tblW w:w="9050" w:type="dxa"/>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3250"/>
        <w:gridCol w:w="1417"/>
        <w:gridCol w:w="1418"/>
        <w:gridCol w:w="1417"/>
        <w:gridCol w:w="1548"/>
      </w:tblGrid>
      <w:tr w:rsidR="00F04E91" w:rsidRPr="00374601" w:rsidTr="00652573">
        <w:trPr>
          <w:trHeight w:val="773"/>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tcPr>
          <w:p w:rsidR="00F04E91" w:rsidRPr="00F04E91" w:rsidRDefault="00F04E91" w:rsidP="00F04E91">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Пројекција 201</w:t>
            </w:r>
            <w:r>
              <w:rPr>
                <w:rFonts w:ascii="Times New Roman" w:hAnsi="Times New Roman" w:cs="Times New Roman"/>
                <w:color w:val="000000"/>
                <w:sz w:val="24"/>
                <w:szCs w:val="24"/>
              </w:rPr>
              <w:t>7</w:t>
            </w:r>
          </w:p>
        </w:tc>
        <w:tc>
          <w:tcPr>
            <w:tcW w:w="1418" w:type="dxa"/>
            <w:tcBorders>
              <w:top w:val="single" w:sz="8" w:space="0" w:color="000000"/>
              <w:left w:val="single" w:sz="8" w:space="0" w:color="000000"/>
              <w:bottom w:val="single" w:sz="8" w:space="0" w:color="000000"/>
              <w:right w:val="single" w:sz="8" w:space="0" w:color="000000"/>
            </w:tcBorders>
          </w:tcPr>
          <w:p w:rsidR="00F04E91" w:rsidRPr="00F04E91" w:rsidRDefault="00F04E91" w:rsidP="002972FF">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Пројекција 201</w:t>
            </w:r>
            <w:r>
              <w:rPr>
                <w:rFonts w:ascii="Times New Roman" w:hAnsi="Times New Roman" w:cs="Times New Roman"/>
                <w:color w:val="000000"/>
                <w:sz w:val="24"/>
                <w:szCs w:val="24"/>
              </w:rPr>
              <w:t>8</w:t>
            </w:r>
          </w:p>
        </w:tc>
        <w:tc>
          <w:tcPr>
            <w:tcW w:w="1417" w:type="dxa"/>
            <w:tcBorders>
              <w:top w:val="single" w:sz="8" w:space="0" w:color="000000"/>
              <w:left w:val="single" w:sz="8" w:space="0" w:color="000000"/>
              <w:bottom w:val="single" w:sz="8" w:space="0" w:color="000000"/>
              <w:right w:val="single" w:sz="4" w:space="0" w:color="auto"/>
            </w:tcBorders>
          </w:tcPr>
          <w:p w:rsidR="00F04E91" w:rsidRPr="00F04E91" w:rsidRDefault="00F04E91" w:rsidP="002972FF">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color w:val="000000"/>
                <w:sz w:val="24"/>
                <w:szCs w:val="24"/>
              </w:rPr>
              <w:t>Пројекција 201</w:t>
            </w:r>
            <w:r>
              <w:rPr>
                <w:rFonts w:ascii="Times New Roman" w:hAnsi="Times New Roman" w:cs="Times New Roman"/>
                <w:color w:val="000000"/>
                <w:sz w:val="24"/>
                <w:szCs w:val="24"/>
              </w:rPr>
              <w:t>9</w:t>
            </w:r>
          </w:p>
        </w:tc>
        <w:tc>
          <w:tcPr>
            <w:tcW w:w="1548" w:type="dxa"/>
            <w:tcBorders>
              <w:top w:val="single" w:sz="8" w:space="0" w:color="000000"/>
              <w:left w:val="single" w:sz="4" w:space="0" w:color="auto"/>
              <w:bottom w:val="single" w:sz="8" w:space="0" w:color="000000"/>
              <w:right w:val="single" w:sz="8" w:space="0" w:color="000000"/>
            </w:tcBorders>
          </w:tcPr>
          <w:p w:rsidR="00F04E91" w:rsidRDefault="00F04E91" w:rsidP="00F04E91">
            <w:pPr>
              <w:jc w:val="center"/>
              <w:rPr>
                <w:rFonts w:ascii="Times New Roman" w:hAnsi="Times New Roman" w:cs="Times New Roman"/>
                <w:color w:val="000000"/>
                <w:sz w:val="24"/>
                <w:szCs w:val="24"/>
              </w:rPr>
            </w:pPr>
            <w:r>
              <w:rPr>
                <w:rFonts w:ascii="Times New Roman" w:hAnsi="Times New Roman" w:cs="Times New Roman"/>
                <w:color w:val="000000"/>
                <w:sz w:val="24"/>
                <w:szCs w:val="24"/>
              </w:rPr>
              <w:t>Пројекција  2020</w:t>
            </w:r>
          </w:p>
          <w:p w:rsidR="00F04E91" w:rsidRPr="00F04E91" w:rsidRDefault="00F04E91" w:rsidP="00F04E91">
            <w:pPr>
              <w:autoSpaceDE w:val="0"/>
              <w:autoSpaceDN w:val="0"/>
              <w:adjustRightInd w:val="0"/>
              <w:jc w:val="center"/>
              <w:rPr>
                <w:rFonts w:ascii="Times New Roman" w:hAnsi="Times New Roman" w:cs="Times New Roman"/>
                <w:color w:val="000000"/>
                <w:sz w:val="24"/>
                <w:szCs w:val="24"/>
              </w:rPr>
            </w:pP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БДП млрд динара</w:t>
            </w:r>
          </w:p>
        </w:tc>
        <w:tc>
          <w:tcPr>
            <w:tcW w:w="1417"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4.396,7</w:t>
            </w:r>
          </w:p>
        </w:tc>
        <w:tc>
          <w:tcPr>
            <w:tcW w:w="1418"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4.678,1</w:t>
            </w:r>
          </w:p>
        </w:tc>
        <w:tc>
          <w:tcPr>
            <w:tcW w:w="1417" w:type="dxa"/>
            <w:tcBorders>
              <w:top w:val="single" w:sz="8" w:space="0" w:color="000000"/>
              <w:left w:val="single" w:sz="8" w:space="0" w:color="000000"/>
              <w:bottom w:val="single" w:sz="8" w:space="0" w:color="000000"/>
              <w:right w:val="single" w:sz="4" w:space="0" w:color="auto"/>
            </w:tcBorders>
          </w:tcPr>
          <w:p w:rsidR="00F04E91" w:rsidRPr="00652573" w:rsidRDefault="00652573"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4.987,5</w:t>
            </w:r>
          </w:p>
        </w:tc>
        <w:tc>
          <w:tcPr>
            <w:tcW w:w="1548" w:type="dxa"/>
            <w:vMerge w:val="restart"/>
            <w:tcBorders>
              <w:top w:val="single" w:sz="8" w:space="0" w:color="000000"/>
              <w:left w:val="single" w:sz="4" w:space="0" w:color="auto"/>
              <w:right w:val="single" w:sz="8" w:space="0" w:color="000000"/>
            </w:tcBorders>
          </w:tcPr>
          <w:p w:rsidR="00F04E91" w:rsidRPr="00F04E91" w:rsidRDefault="00F04E91" w:rsidP="00F04E9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на нивоу 2019 из разлога непостојања параметара</w:t>
            </w: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F04E91" w:rsidP="00E119F6">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color w:val="000000"/>
                <w:sz w:val="24"/>
                <w:szCs w:val="24"/>
              </w:rPr>
              <w:t>Реални раст БДП</w:t>
            </w:r>
          </w:p>
        </w:tc>
        <w:tc>
          <w:tcPr>
            <w:tcW w:w="1417" w:type="dxa"/>
            <w:tcBorders>
              <w:top w:val="single" w:sz="8" w:space="0" w:color="000000"/>
              <w:left w:val="single" w:sz="8" w:space="0" w:color="000000"/>
              <w:bottom w:val="single" w:sz="8" w:space="0" w:color="000000"/>
              <w:right w:val="single" w:sz="8" w:space="0" w:color="000000"/>
            </w:tcBorders>
          </w:tcPr>
          <w:p w:rsidR="00F04E91" w:rsidRPr="00652573" w:rsidRDefault="00652573"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F04E91">
              <w:rPr>
                <w:rFonts w:ascii="Times New Roman" w:hAnsi="Times New Roman" w:cs="Times New Roman"/>
                <w:color w:val="000000"/>
                <w:sz w:val="24"/>
                <w:szCs w:val="24"/>
              </w:rPr>
              <w:t>,</w:t>
            </w:r>
            <w:r>
              <w:rPr>
                <w:rFonts w:ascii="Times New Roman" w:hAnsi="Times New Roman" w:cs="Times New Roman"/>
                <w:color w:val="000000"/>
                <w:sz w:val="24"/>
                <w:szCs w:val="24"/>
              </w:rPr>
              <w:t>0</w:t>
            </w:r>
          </w:p>
        </w:tc>
        <w:tc>
          <w:tcPr>
            <w:tcW w:w="1418" w:type="dxa"/>
            <w:tcBorders>
              <w:top w:val="single" w:sz="8" w:space="0" w:color="000000"/>
              <w:left w:val="single" w:sz="8" w:space="0" w:color="000000"/>
              <w:bottom w:val="single" w:sz="8" w:space="0" w:color="000000"/>
              <w:right w:val="single" w:sz="8" w:space="0" w:color="000000"/>
            </w:tcBorders>
          </w:tcPr>
          <w:p w:rsidR="00F04E91" w:rsidRPr="00652573" w:rsidRDefault="00652573"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417" w:type="dxa"/>
            <w:tcBorders>
              <w:top w:val="single" w:sz="8" w:space="0" w:color="000000"/>
              <w:left w:val="single" w:sz="8" w:space="0" w:color="000000"/>
              <w:bottom w:val="single" w:sz="8" w:space="0" w:color="000000"/>
              <w:right w:val="single" w:sz="4" w:space="0" w:color="auto"/>
            </w:tcBorders>
          </w:tcPr>
          <w:p w:rsidR="00F04E91" w:rsidRPr="00374601" w:rsidRDefault="00F04E91"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1548" w:type="dxa"/>
            <w:vMerge/>
            <w:tcBorders>
              <w:left w:val="single" w:sz="4" w:space="0" w:color="auto"/>
              <w:right w:val="single" w:sz="8" w:space="0" w:color="000000"/>
            </w:tcBorders>
          </w:tcPr>
          <w:p w:rsidR="00F04E91" w:rsidRPr="00374601" w:rsidRDefault="00F04E91" w:rsidP="00F04E91">
            <w:pPr>
              <w:autoSpaceDE w:val="0"/>
              <w:autoSpaceDN w:val="0"/>
              <w:adjustRightInd w:val="0"/>
              <w:jc w:val="center"/>
              <w:rPr>
                <w:rFonts w:ascii="Times New Roman" w:hAnsi="Times New Roman" w:cs="Times New Roman"/>
                <w:color w:val="000000"/>
                <w:sz w:val="24"/>
                <w:szCs w:val="24"/>
              </w:rPr>
            </w:pPr>
          </w:p>
        </w:tc>
      </w:tr>
      <w:tr w:rsidR="00F04E91" w:rsidRPr="00374601" w:rsidTr="00F04E91">
        <w:trPr>
          <w:trHeight w:val="157"/>
          <w:jc w:val="center"/>
        </w:trPr>
        <w:tc>
          <w:tcPr>
            <w:tcW w:w="3250" w:type="dxa"/>
            <w:tcBorders>
              <w:top w:val="single" w:sz="8" w:space="0" w:color="000000"/>
              <w:left w:val="single" w:sz="8" w:space="0" w:color="000000"/>
              <w:bottom w:val="single" w:sz="8" w:space="0" w:color="000000"/>
              <w:right w:val="single" w:sz="8" w:space="0" w:color="000000"/>
            </w:tcBorders>
          </w:tcPr>
          <w:p w:rsidR="00F04E91" w:rsidRPr="00374601" w:rsidRDefault="00652573" w:rsidP="00E119F6">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Инфлација</w:t>
            </w:r>
            <w:r w:rsidR="00F04E91" w:rsidRPr="00374601">
              <w:rPr>
                <w:rFonts w:ascii="Times New Roman" w:hAnsi="Times New Roman" w:cs="Times New Roman"/>
                <w:color w:val="000000"/>
                <w:sz w:val="24"/>
                <w:szCs w:val="24"/>
              </w:rPr>
              <w:t xml:space="preserve"> просек периода, у %</w:t>
            </w:r>
          </w:p>
        </w:tc>
        <w:tc>
          <w:tcPr>
            <w:tcW w:w="1417" w:type="dxa"/>
            <w:tcBorders>
              <w:top w:val="single" w:sz="8" w:space="0" w:color="000000"/>
              <w:left w:val="single" w:sz="8" w:space="0" w:color="000000"/>
              <w:bottom w:val="single" w:sz="8" w:space="0" w:color="000000"/>
              <w:right w:val="single" w:sz="8" w:space="0" w:color="000000"/>
            </w:tcBorders>
          </w:tcPr>
          <w:p w:rsidR="00F04E91" w:rsidRPr="00652573" w:rsidRDefault="00F04E91" w:rsidP="00652573">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00652573">
              <w:rPr>
                <w:rFonts w:ascii="Times New Roman" w:hAnsi="Times New Roman" w:cs="Times New Roman"/>
                <w:color w:val="000000"/>
                <w:sz w:val="24"/>
                <w:szCs w:val="24"/>
              </w:rPr>
              <w:t>4</w:t>
            </w:r>
          </w:p>
        </w:tc>
        <w:tc>
          <w:tcPr>
            <w:tcW w:w="1418" w:type="dxa"/>
            <w:tcBorders>
              <w:top w:val="single" w:sz="8" w:space="0" w:color="000000"/>
              <w:left w:val="single" w:sz="8" w:space="0" w:color="000000"/>
              <w:bottom w:val="single" w:sz="8" w:space="0" w:color="000000"/>
              <w:right w:val="single" w:sz="8" w:space="0" w:color="000000"/>
            </w:tcBorders>
          </w:tcPr>
          <w:p w:rsidR="00F04E91" w:rsidRPr="00652573" w:rsidRDefault="00F04E91"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52573">
              <w:rPr>
                <w:rFonts w:ascii="Times New Roman" w:hAnsi="Times New Roman" w:cs="Times New Roman"/>
                <w:color w:val="000000"/>
                <w:sz w:val="24"/>
                <w:szCs w:val="24"/>
              </w:rPr>
              <w:t>0</w:t>
            </w:r>
          </w:p>
        </w:tc>
        <w:tc>
          <w:tcPr>
            <w:tcW w:w="1417" w:type="dxa"/>
            <w:tcBorders>
              <w:top w:val="single" w:sz="8" w:space="0" w:color="000000"/>
              <w:left w:val="single" w:sz="8" w:space="0" w:color="000000"/>
              <w:bottom w:val="single" w:sz="8" w:space="0" w:color="000000"/>
              <w:right w:val="single" w:sz="4" w:space="0" w:color="auto"/>
            </w:tcBorders>
          </w:tcPr>
          <w:p w:rsidR="00F04E91" w:rsidRPr="00652573" w:rsidRDefault="00F04E91" w:rsidP="00E119F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652573">
              <w:rPr>
                <w:rFonts w:ascii="Times New Roman" w:hAnsi="Times New Roman" w:cs="Times New Roman"/>
                <w:color w:val="000000"/>
                <w:sz w:val="24"/>
                <w:szCs w:val="24"/>
              </w:rPr>
              <w:t>0</w:t>
            </w:r>
          </w:p>
        </w:tc>
        <w:tc>
          <w:tcPr>
            <w:tcW w:w="1548" w:type="dxa"/>
            <w:vMerge/>
            <w:tcBorders>
              <w:left w:val="single" w:sz="4" w:space="0" w:color="auto"/>
              <w:bottom w:val="single" w:sz="8" w:space="0" w:color="000000"/>
              <w:right w:val="single" w:sz="8" w:space="0" w:color="000000"/>
            </w:tcBorders>
          </w:tcPr>
          <w:p w:rsidR="00F04E91" w:rsidRPr="00374601" w:rsidRDefault="00F04E91" w:rsidP="00F04E91">
            <w:pPr>
              <w:autoSpaceDE w:val="0"/>
              <w:autoSpaceDN w:val="0"/>
              <w:adjustRightInd w:val="0"/>
              <w:jc w:val="center"/>
              <w:rPr>
                <w:rFonts w:ascii="Times New Roman" w:hAnsi="Times New Roman" w:cs="Times New Roman"/>
                <w:color w:val="000000"/>
                <w:sz w:val="24"/>
                <w:szCs w:val="24"/>
              </w:rPr>
            </w:pPr>
          </w:p>
        </w:tc>
      </w:tr>
    </w:tbl>
    <w:p w:rsidR="002972FF" w:rsidRPr="00374601" w:rsidRDefault="002972FF" w:rsidP="002972FF">
      <w:pPr>
        <w:autoSpaceDE w:val="0"/>
        <w:autoSpaceDN w:val="0"/>
        <w:adjustRightInd w:val="0"/>
        <w:rPr>
          <w:rFonts w:ascii="Times New Roman" w:hAnsi="Times New Roman" w:cs="Times New Roman"/>
          <w:i/>
          <w:iCs/>
          <w:sz w:val="24"/>
          <w:szCs w:val="24"/>
        </w:rPr>
      </w:pPr>
      <w:r w:rsidRPr="00374601">
        <w:rPr>
          <w:rFonts w:ascii="Times New Roman" w:hAnsi="Times New Roman" w:cs="Times New Roman"/>
          <w:bCs/>
          <w:i/>
          <w:iCs/>
          <w:sz w:val="24"/>
          <w:szCs w:val="24"/>
        </w:rPr>
        <w:t xml:space="preserve">Табела: </w:t>
      </w:r>
      <w:r w:rsidRPr="00374601">
        <w:rPr>
          <w:rFonts w:ascii="Times New Roman" w:hAnsi="Times New Roman" w:cs="Times New Roman"/>
          <w:i/>
          <w:iCs/>
          <w:sz w:val="24"/>
          <w:szCs w:val="24"/>
        </w:rPr>
        <w:t>Пројекција основних макроекономских показатеља Републике Србије у периоду 201</w:t>
      </w:r>
      <w:r w:rsidR="00652573">
        <w:rPr>
          <w:rFonts w:ascii="Times New Roman" w:hAnsi="Times New Roman" w:cs="Times New Roman"/>
          <w:i/>
          <w:iCs/>
          <w:sz w:val="24"/>
          <w:szCs w:val="24"/>
        </w:rPr>
        <w:t>7 - 2020</w:t>
      </w:r>
      <w:r w:rsidRPr="00374601">
        <w:rPr>
          <w:rFonts w:ascii="Times New Roman" w:hAnsi="Times New Roman" w:cs="Times New Roman"/>
          <w:i/>
          <w:iCs/>
          <w:sz w:val="24"/>
          <w:szCs w:val="24"/>
        </w:rPr>
        <w:t>. године</w:t>
      </w:r>
    </w:p>
    <w:p w:rsidR="002972FF" w:rsidRPr="00944F0B" w:rsidRDefault="002972FF" w:rsidP="002972FF">
      <w:pPr>
        <w:autoSpaceDE w:val="0"/>
        <w:autoSpaceDN w:val="0"/>
        <w:adjustRightInd w:val="0"/>
        <w:jc w:val="both"/>
        <w:rPr>
          <w:rFonts w:ascii="Times New Roman" w:hAnsi="Times New Roman" w:cs="Times New Roman"/>
          <w:b/>
          <w:sz w:val="24"/>
          <w:szCs w:val="24"/>
        </w:rPr>
      </w:pPr>
      <w:r w:rsidRPr="00944F0B">
        <w:rPr>
          <w:rFonts w:ascii="Times New Roman" w:hAnsi="Times New Roman" w:cs="Times New Roman"/>
          <w:b/>
          <w:bCs/>
          <w:sz w:val="24"/>
          <w:szCs w:val="24"/>
        </w:rPr>
        <w:t xml:space="preserve">НАПОМЕНА: </w:t>
      </w:r>
      <w:r w:rsidRPr="00944F0B">
        <w:rPr>
          <w:rFonts w:ascii="Times New Roman" w:hAnsi="Times New Roman" w:cs="Times New Roman"/>
          <w:b/>
          <w:sz w:val="24"/>
          <w:szCs w:val="24"/>
        </w:rPr>
        <w:t>Обзиром да се доношење Фискалне стратегије и Упутства за припрему буџета локалне власти за 201</w:t>
      </w:r>
      <w:r w:rsidR="00944F0B" w:rsidRPr="00944F0B">
        <w:rPr>
          <w:rFonts w:ascii="Times New Roman" w:hAnsi="Times New Roman" w:cs="Times New Roman"/>
          <w:b/>
          <w:sz w:val="24"/>
          <w:szCs w:val="24"/>
        </w:rPr>
        <w:t xml:space="preserve">8 </w:t>
      </w:r>
      <w:r w:rsidRPr="00944F0B">
        <w:rPr>
          <w:rFonts w:ascii="Times New Roman" w:hAnsi="Times New Roman" w:cs="Times New Roman"/>
          <w:b/>
          <w:sz w:val="24"/>
          <w:szCs w:val="24"/>
        </w:rPr>
        <w:t>. и</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наредне две године очекује у наредном периоду, уколико се догоди да дође до одступања у величинама наведених параметара, у</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даљем поступку припреме буџета наведене пројекције макроекономских показатеља биће усаглашене. У складу са истим,</w:t>
      </w:r>
      <w:r w:rsidR="00944F0B" w:rsidRPr="00944F0B">
        <w:rPr>
          <w:rFonts w:ascii="Times New Roman" w:hAnsi="Times New Roman" w:cs="Times New Roman"/>
          <w:b/>
          <w:sz w:val="24"/>
          <w:szCs w:val="24"/>
        </w:rPr>
        <w:t xml:space="preserve"> </w:t>
      </w:r>
      <w:r w:rsidRPr="00944F0B">
        <w:rPr>
          <w:rFonts w:ascii="Times New Roman" w:hAnsi="Times New Roman" w:cs="Times New Roman"/>
          <w:b/>
          <w:sz w:val="24"/>
          <w:szCs w:val="24"/>
        </w:rPr>
        <w:t>корисници буџетских средстава биће благовремено обавештени како би извршили неопходне корекције у предлозима финансијских</w:t>
      </w:r>
      <w:r w:rsidR="007D0190">
        <w:rPr>
          <w:rFonts w:ascii="Times New Roman" w:hAnsi="Times New Roman" w:cs="Times New Roman"/>
          <w:b/>
          <w:sz w:val="24"/>
          <w:szCs w:val="24"/>
        </w:rPr>
        <w:t xml:space="preserve"> </w:t>
      </w:r>
      <w:r w:rsidRPr="00944F0B">
        <w:rPr>
          <w:rFonts w:ascii="Times New Roman" w:hAnsi="Times New Roman" w:cs="Times New Roman"/>
          <w:b/>
          <w:sz w:val="24"/>
          <w:szCs w:val="24"/>
        </w:rPr>
        <w:t>планова за 201</w:t>
      </w:r>
      <w:r w:rsidR="00944F0B">
        <w:rPr>
          <w:rFonts w:ascii="Times New Roman" w:hAnsi="Times New Roman" w:cs="Times New Roman"/>
          <w:b/>
          <w:sz w:val="24"/>
          <w:szCs w:val="24"/>
        </w:rPr>
        <w:t>8</w:t>
      </w:r>
      <w:r w:rsidRPr="00944F0B">
        <w:rPr>
          <w:rFonts w:ascii="Times New Roman" w:hAnsi="Times New Roman" w:cs="Times New Roman"/>
          <w:b/>
          <w:sz w:val="24"/>
          <w:szCs w:val="24"/>
        </w:rPr>
        <w:t>. и наредне две године.</w:t>
      </w:r>
    </w:p>
    <w:p w:rsidR="00E119F6" w:rsidRPr="00374601" w:rsidRDefault="00E119F6" w:rsidP="00DC42FA">
      <w:pPr>
        <w:autoSpaceDE w:val="0"/>
        <w:autoSpaceDN w:val="0"/>
        <w:adjustRightInd w:val="0"/>
        <w:ind w:firstLine="720"/>
        <w:jc w:val="both"/>
        <w:rPr>
          <w:rFonts w:ascii="Times New Roman" w:hAnsi="Times New Roman" w:cs="Times New Roman"/>
          <w:b/>
          <w:bCs/>
          <w:color w:val="000000"/>
          <w:sz w:val="24"/>
          <w:szCs w:val="24"/>
        </w:rPr>
      </w:pPr>
    </w:p>
    <w:p w:rsidR="00221789" w:rsidRPr="00374601" w:rsidRDefault="00221789" w:rsidP="00953362">
      <w:pPr>
        <w:jc w:val="both"/>
        <w:rPr>
          <w:rFonts w:ascii="Times New Roman" w:hAnsi="Times New Roman" w:cs="Times New Roman"/>
          <w:b/>
          <w:sz w:val="24"/>
          <w:szCs w:val="24"/>
        </w:rPr>
      </w:pPr>
      <w:r w:rsidRPr="00374601">
        <w:rPr>
          <w:rFonts w:ascii="Times New Roman" w:hAnsi="Times New Roman" w:cs="Times New Roman"/>
          <w:b/>
          <w:sz w:val="24"/>
          <w:szCs w:val="24"/>
        </w:rPr>
        <w:t>ОПИС ПЛАНИРАНЕ ПОЛИТИКЕ ОПШТИНЕ ЉУБОВИЈА ЗА ПЕРИОД 201</w:t>
      </w:r>
      <w:r w:rsidR="00944F0B">
        <w:rPr>
          <w:rFonts w:ascii="Times New Roman" w:hAnsi="Times New Roman" w:cs="Times New Roman"/>
          <w:b/>
          <w:sz w:val="24"/>
          <w:szCs w:val="24"/>
        </w:rPr>
        <w:t>8-2020</w:t>
      </w:r>
      <w:r w:rsidRPr="00374601">
        <w:rPr>
          <w:rFonts w:ascii="Times New Roman" w:hAnsi="Times New Roman" w:cs="Times New Roman"/>
          <w:b/>
          <w:sz w:val="24"/>
          <w:szCs w:val="24"/>
        </w:rPr>
        <w:t>. ГОДИНЕ</w:t>
      </w:r>
    </w:p>
    <w:p w:rsidR="00221789"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84BB3" w:rsidRPr="00374601">
        <w:rPr>
          <w:rFonts w:ascii="Times New Roman" w:hAnsi="Times New Roman" w:cs="Times New Roman"/>
          <w:sz w:val="24"/>
          <w:szCs w:val="24"/>
        </w:rPr>
        <w:t>У периоду од 201</w:t>
      </w:r>
      <w:r w:rsidR="00944F0B">
        <w:rPr>
          <w:rFonts w:ascii="Times New Roman" w:hAnsi="Times New Roman" w:cs="Times New Roman"/>
          <w:sz w:val="24"/>
          <w:szCs w:val="24"/>
        </w:rPr>
        <w:t>8. до 2020</w:t>
      </w:r>
      <w:r w:rsidR="00221789" w:rsidRPr="00374601">
        <w:rPr>
          <w:rFonts w:ascii="Times New Roman" w:hAnsi="Times New Roman" w:cs="Times New Roman"/>
          <w:sz w:val="24"/>
          <w:szCs w:val="24"/>
        </w:rPr>
        <w:t xml:space="preserve">. године општина Љубовија ће обављати изворне, поверене и пренесене надлежности у складу са Уставом Републике Србије и Законом о </w:t>
      </w:r>
      <w:r w:rsidR="00221789" w:rsidRPr="00374601">
        <w:rPr>
          <w:rFonts w:ascii="Times New Roman" w:hAnsi="Times New Roman" w:cs="Times New Roman"/>
          <w:sz w:val="24"/>
          <w:szCs w:val="24"/>
        </w:rPr>
        <w:lastRenderedPageBreak/>
        <w:t xml:space="preserve">локалној самоуправи, као и другим законским и подзаконским актима којим се регулише ова област. </w:t>
      </w:r>
    </w:p>
    <w:p w:rsidR="00221789"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Сходно наведеном, активности општина Љубовија у 201</w:t>
      </w:r>
      <w:r w:rsidR="00944F0B">
        <w:rPr>
          <w:rFonts w:ascii="Times New Roman" w:hAnsi="Times New Roman" w:cs="Times New Roman"/>
          <w:sz w:val="24"/>
          <w:szCs w:val="24"/>
        </w:rPr>
        <w:t>8</w:t>
      </w:r>
      <w:r w:rsidR="00221789" w:rsidRPr="00374601">
        <w:rPr>
          <w:rFonts w:ascii="Times New Roman" w:hAnsi="Times New Roman" w:cs="Times New Roman"/>
          <w:sz w:val="24"/>
          <w:szCs w:val="24"/>
        </w:rPr>
        <w:t>. и наредне две фискалне године биће усмерене на следеће послове: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-урбанизам и просторно планирање,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-одржавање и изградња локалне комуналне и саобраћајне инфраструктуре (водоснабдевање, прикупљање и одношење смећа, управљање</w:t>
      </w:r>
      <w:r w:rsidR="0095650D" w:rsidRPr="00374601">
        <w:rPr>
          <w:rFonts w:ascii="Times New Roman" w:hAnsi="Times New Roman" w:cs="Times New Roman"/>
          <w:sz w:val="24"/>
          <w:szCs w:val="24"/>
        </w:rPr>
        <w:t xml:space="preserve"> отпадним водама, </w:t>
      </w:r>
      <w:r w:rsidRPr="00374601">
        <w:rPr>
          <w:rFonts w:ascii="Times New Roman" w:hAnsi="Times New Roman" w:cs="Times New Roman"/>
          <w:sz w:val="24"/>
          <w:szCs w:val="24"/>
        </w:rPr>
        <w:t xml:space="preserve"> јавна хигијена, уређење и одржавање зеленила, јавна расвета, локални путеви и остале комуналне услуге)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вођење економске и развојне политике општине,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пољопривреда и рурални развој,</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заштита животне средине,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обезбеђивање услова за рад локалних установа у култури,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организација културних и спортских активности и манифестација,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опорезивање, финансијско управљање и буџетирање,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пружање осталих услуга грађанима у складу са Законом.</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Општина Љубовија ће обављати поверене и пренесене послове из области:</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државне управе,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социјалне заштите,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здравствене заштите, </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предшколског, основног и средњег образовања,</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екологије и очувања животне средине,</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рада инспекцијских служби и др. </w:t>
      </w:r>
    </w:p>
    <w:p w:rsidR="00603B00"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Извршавање свих законских обавеза и задатака који се односе на локалну управу, ефикасније коришћење расположивих финансијских ресурса у циљу задовољавања потреба грађана, основа су буџетске политике општине. Такође, у наредној години потребно је предузети активности које ће бити усмерене ка повећању наплате пореских и непореских прихода, као и на редуковању административне потрошње свих корисника буџета, што је у складу са мерама штедње.</w:t>
      </w:r>
    </w:p>
    <w:p w:rsidR="00603B00" w:rsidRPr="007D0190"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 xml:space="preserve"> Опредељење је да се у наредној години расположива средства искористе првенствено за финансирање социјалне заштите,  улагање у запошљавање и унапређење привреде и образовања. Такође, предвиђено је улагање у саобраћајну, комуналну и другу инфраструктуру, са акцентом на текуће и инвести</w:t>
      </w:r>
      <w:r>
        <w:rPr>
          <w:rFonts w:ascii="Times New Roman" w:hAnsi="Times New Roman" w:cs="Times New Roman"/>
          <w:sz w:val="24"/>
          <w:szCs w:val="24"/>
        </w:rPr>
        <w:t>ционо одржавање инфраструктуре.</w:t>
      </w:r>
    </w:p>
    <w:p w:rsidR="0095650D"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 xml:space="preserve"> Успостављањем и унапређењем планирања и расподеле средстава по програмском моделу, који се по први пут ради од 2015.године, створи</w:t>
      </w:r>
      <w:r w:rsidR="0041016B" w:rsidRPr="00374601">
        <w:rPr>
          <w:rFonts w:ascii="Times New Roman" w:hAnsi="Times New Roman" w:cs="Times New Roman"/>
          <w:sz w:val="24"/>
          <w:szCs w:val="24"/>
        </w:rPr>
        <w:t>o</w:t>
      </w:r>
      <w:r w:rsidR="00221789" w:rsidRPr="00374601">
        <w:rPr>
          <w:rFonts w:ascii="Times New Roman" w:hAnsi="Times New Roman" w:cs="Times New Roman"/>
          <w:sz w:val="24"/>
          <w:szCs w:val="24"/>
        </w:rPr>
        <w:t xml:space="preserve"> се основ за обезбеђивање веће ефикасности и конкурентности привреде као и делотворност јавне потрошње.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w:t>
      </w:r>
      <w:r w:rsidR="007D0190">
        <w:rPr>
          <w:rFonts w:ascii="Times New Roman" w:hAnsi="Times New Roman" w:cs="Times New Roman"/>
          <w:sz w:val="24"/>
          <w:szCs w:val="24"/>
        </w:rPr>
        <w:t xml:space="preserve">          </w:t>
      </w:r>
      <w:r w:rsidRPr="00374601">
        <w:rPr>
          <w:rFonts w:ascii="Times New Roman" w:hAnsi="Times New Roman" w:cs="Times New Roman"/>
          <w:sz w:val="24"/>
          <w:szCs w:val="24"/>
        </w:rPr>
        <w:t xml:space="preserve">Само унапређење буџетских процеса део је шире реформе управљања јавним финансијама, која ставља акценат на утврђивање приоритета и оптимизацију потрошње у циљу подстицања привредног раста и ефикасног пружања квалитетних услуга јавне управе. </w:t>
      </w:r>
    </w:p>
    <w:p w:rsidR="00603B00" w:rsidRPr="00374601" w:rsidRDefault="007D0190" w:rsidP="00953362">
      <w:pPr>
        <w:jc w:val="both"/>
        <w:rPr>
          <w:rFonts w:ascii="Times New Roman" w:hAnsi="Times New Roman" w:cs="Times New Roman"/>
          <w:sz w:val="24"/>
          <w:szCs w:val="24"/>
        </w:rPr>
      </w:pPr>
      <w:r>
        <w:rPr>
          <w:rFonts w:ascii="Times New Roman" w:hAnsi="Times New Roman" w:cs="Times New Roman"/>
          <w:sz w:val="24"/>
          <w:szCs w:val="24"/>
        </w:rPr>
        <w:t xml:space="preserve">           </w:t>
      </w:r>
      <w:r w:rsidR="00221789" w:rsidRPr="00374601">
        <w:rPr>
          <w:rFonts w:ascii="Times New Roman" w:hAnsi="Times New Roman" w:cs="Times New Roman"/>
          <w:sz w:val="24"/>
          <w:szCs w:val="24"/>
        </w:rPr>
        <w:t>Од корисника буџета очекује се да поштују политику општине за наредну годину и придржавају се ограничења везаних за буџетску потрошњу у наредној години. Са аспекта финансијског менаџмента, активности у политици јавних прихода и расхода буџета општине, у 201</w:t>
      </w:r>
      <w:r w:rsidR="00021475">
        <w:rPr>
          <w:rFonts w:ascii="Times New Roman" w:hAnsi="Times New Roman" w:cs="Times New Roman"/>
          <w:sz w:val="24"/>
          <w:szCs w:val="24"/>
        </w:rPr>
        <w:t>8</w:t>
      </w:r>
      <w:r w:rsidR="00221789" w:rsidRPr="00374601">
        <w:rPr>
          <w:rFonts w:ascii="Times New Roman" w:hAnsi="Times New Roman" w:cs="Times New Roman"/>
          <w:sz w:val="24"/>
          <w:szCs w:val="24"/>
        </w:rPr>
        <w:t>. и наредне две фискалне године биће усмерене ка следећим принципима: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вођење фискалне политике усклађене са принципима фискалне одговорности и фискалним правилима која се односе на фискални дефицит и јавни дуг утврђен</w:t>
      </w:r>
      <w:r w:rsidR="00603B00" w:rsidRPr="00374601">
        <w:rPr>
          <w:rFonts w:ascii="Times New Roman" w:hAnsi="Times New Roman" w:cs="Times New Roman"/>
          <w:sz w:val="24"/>
          <w:szCs w:val="24"/>
        </w:rPr>
        <w:t>им Законом о буџетском систему;</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чврста контрола плата у јавном сектору у складу са утврђеним фискалним правилима;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lastRenderedPageBreak/>
        <w:t xml:space="preserve"> - повећање финансијске дисциплине буџетских корисника;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-замрзавање текућих расхода уз истовремено веће издвајање за капиталне инвестиционе расходе, који ће подржати привредни раст и укупан развој;</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наставак процеса рационалније потрошње код свих буџетских корисника;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финансирање капиталних пројеката дефинисаних развојним (стратешким и планским) документима које је усвојила Скупштина општине;</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наставак активности у сагледавању прихода, који остварују буџетски корисници као „сопствене приходе“, а реч је о јавним приходима који се морају укључити као буџетски приход консолидованог рачуна трезора;</w:t>
      </w:r>
      <w:bookmarkStart w:id="0" w:name="_GoBack"/>
      <w:bookmarkEnd w:id="0"/>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контрола пословања у јавним предузећима, чији је оснивач општина;</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 инсистирање на изради и доношењу реалних планова и програма развоја јавних предузећа;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наставак започетих активности из претходне године на реализацији основних циљева у политици локалних јавних прихода и расхода;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наставак активности локалне пореске администрације на реалном обухвату и ефикаснијој наплати припадајућих изворних прихода општине; </w:t>
      </w:r>
    </w:p>
    <w:p w:rsidR="00603B00"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унапређење процеса управљања расходима, кроз јачање планске функције буџетских корисника у сагледавању и изради финансијских планова.</w:t>
      </w:r>
    </w:p>
    <w:p w:rsidR="00221789" w:rsidRPr="00374601" w:rsidRDefault="00221789" w:rsidP="00953362">
      <w:pPr>
        <w:jc w:val="both"/>
        <w:rPr>
          <w:rFonts w:ascii="Times New Roman" w:hAnsi="Times New Roman" w:cs="Times New Roman"/>
          <w:sz w:val="24"/>
          <w:szCs w:val="24"/>
        </w:rPr>
      </w:pPr>
      <w:r w:rsidRPr="00374601">
        <w:rPr>
          <w:rFonts w:ascii="Times New Roman" w:hAnsi="Times New Roman" w:cs="Times New Roman"/>
          <w:sz w:val="24"/>
          <w:szCs w:val="24"/>
        </w:rPr>
        <w:t xml:space="preserve"> </w:t>
      </w:r>
      <w:r w:rsidR="007D0190">
        <w:rPr>
          <w:rFonts w:ascii="Times New Roman" w:hAnsi="Times New Roman" w:cs="Times New Roman"/>
          <w:sz w:val="24"/>
          <w:szCs w:val="24"/>
        </w:rPr>
        <w:t xml:space="preserve">            </w:t>
      </w:r>
      <w:r w:rsidRPr="00374601">
        <w:rPr>
          <w:rFonts w:ascii="Times New Roman" w:hAnsi="Times New Roman" w:cs="Times New Roman"/>
          <w:sz w:val="24"/>
          <w:szCs w:val="24"/>
        </w:rPr>
        <w:t>Кретање расхода у 201</w:t>
      </w:r>
      <w:r w:rsidR="00021475">
        <w:rPr>
          <w:rFonts w:ascii="Times New Roman" w:hAnsi="Times New Roman" w:cs="Times New Roman"/>
          <w:sz w:val="24"/>
          <w:szCs w:val="24"/>
        </w:rPr>
        <w:t>8</w:t>
      </w:r>
      <w:r w:rsidRPr="00374601">
        <w:rPr>
          <w:rFonts w:ascii="Times New Roman" w:hAnsi="Times New Roman" w:cs="Times New Roman"/>
          <w:sz w:val="24"/>
          <w:szCs w:val="24"/>
        </w:rPr>
        <w:t>. години биће усмерено ка санирању негативних утицаја кризе. У том смислу наставиће се са смањењем учешћа јавне потрошње, а остатак средстава усмериће се за инвестициона улагања.</w:t>
      </w:r>
    </w:p>
    <w:p w:rsidR="00A162A7" w:rsidRPr="00374601" w:rsidRDefault="00A162A7" w:rsidP="00953362">
      <w:pPr>
        <w:jc w:val="both"/>
        <w:rPr>
          <w:rFonts w:ascii="Times New Roman" w:hAnsi="Times New Roman" w:cs="Times New Roman"/>
          <w:sz w:val="24"/>
          <w:szCs w:val="24"/>
        </w:rPr>
      </w:pPr>
    </w:p>
    <w:p w:rsidR="00A162A7" w:rsidRPr="00374601" w:rsidRDefault="0095650D" w:rsidP="00953362">
      <w:pPr>
        <w:autoSpaceDE w:val="0"/>
        <w:autoSpaceDN w:val="0"/>
        <w:adjustRightInd w:val="0"/>
        <w:jc w:val="both"/>
        <w:rPr>
          <w:rFonts w:ascii="Times New Roman" w:hAnsi="Times New Roman" w:cs="Times New Roman"/>
          <w:b/>
          <w:bCs/>
          <w:color w:val="000000"/>
          <w:sz w:val="24"/>
          <w:szCs w:val="24"/>
        </w:rPr>
      </w:pPr>
      <w:r w:rsidRPr="00374601">
        <w:rPr>
          <w:rFonts w:ascii="Times New Roman" w:hAnsi="Times New Roman" w:cs="Times New Roman"/>
          <w:b/>
          <w:bCs/>
          <w:color w:val="000000"/>
          <w:sz w:val="24"/>
          <w:szCs w:val="24"/>
        </w:rPr>
        <w:t xml:space="preserve">СМЕРНИЦЕ ЗА ПРИПРЕМУ БУЏЕТА ОПШТИНЕ ЉУБОВИЈА ЗА </w:t>
      </w:r>
      <w:r w:rsidR="00A162A7" w:rsidRPr="00374601">
        <w:rPr>
          <w:rFonts w:ascii="Times New Roman" w:hAnsi="Times New Roman" w:cs="Times New Roman"/>
          <w:b/>
          <w:bCs/>
          <w:color w:val="000000"/>
          <w:sz w:val="24"/>
          <w:szCs w:val="24"/>
        </w:rPr>
        <w:t>201</w:t>
      </w:r>
      <w:r w:rsidR="00021475">
        <w:rPr>
          <w:rFonts w:ascii="Times New Roman" w:hAnsi="Times New Roman" w:cs="Times New Roman"/>
          <w:b/>
          <w:bCs/>
          <w:color w:val="000000"/>
          <w:sz w:val="24"/>
          <w:szCs w:val="24"/>
        </w:rPr>
        <w:t>8</w:t>
      </w:r>
      <w:r w:rsidR="00A162A7" w:rsidRPr="00374601">
        <w:rPr>
          <w:rFonts w:ascii="Times New Roman" w:hAnsi="Times New Roman" w:cs="Times New Roman"/>
          <w:b/>
          <w:bCs/>
          <w:color w:val="000000"/>
          <w:sz w:val="24"/>
          <w:szCs w:val="24"/>
        </w:rPr>
        <w:t xml:space="preserve">. </w:t>
      </w:r>
      <w:r w:rsidRPr="00374601">
        <w:rPr>
          <w:rFonts w:ascii="Times New Roman" w:hAnsi="Times New Roman" w:cs="Times New Roman"/>
          <w:b/>
          <w:bCs/>
          <w:color w:val="000000"/>
          <w:sz w:val="24"/>
          <w:szCs w:val="24"/>
        </w:rPr>
        <w:t>ГОДИНУ</w:t>
      </w:r>
    </w:p>
    <w:p w:rsidR="0095650D" w:rsidRPr="00374601" w:rsidRDefault="0095650D" w:rsidP="0095650D">
      <w:pPr>
        <w:autoSpaceDE w:val="0"/>
        <w:autoSpaceDN w:val="0"/>
        <w:adjustRightInd w:val="0"/>
        <w:jc w:val="center"/>
        <w:rPr>
          <w:rFonts w:ascii="Times New Roman" w:hAnsi="Times New Roman" w:cs="Times New Roman"/>
          <w:color w:val="000000"/>
          <w:sz w:val="24"/>
          <w:szCs w:val="24"/>
        </w:rPr>
      </w:pPr>
    </w:p>
    <w:p w:rsidR="00A162A7" w:rsidRDefault="00A162A7" w:rsidP="00021475">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color w:val="000000"/>
          <w:sz w:val="24"/>
          <w:szCs w:val="24"/>
        </w:rPr>
        <w:t>Саглед</w:t>
      </w:r>
      <w:r w:rsidR="00021475">
        <w:rPr>
          <w:rFonts w:ascii="Times New Roman" w:hAnsi="Times New Roman" w:cs="Times New Roman"/>
          <w:color w:val="000000"/>
          <w:sz w:val="24"/>
          <w:szCs w:val="24"/>
        </w:rPr>
        <w:t>авајући привредна кретања у 2017</w:t>
      </w:r>
      <w:r w:rsidR="007D0190">
        <w:rPr>
          <w:rFonts w:ascii="Times New Roman" w:hAnsi="Times New Roman" w:cs="Times New Roman"/>
          <w:color w:val="000000"/>
          <w:sz w:val="24"/>
          <w:szCs w:val="24"/>
        </w:rPr>
        <w:t xml:space="preserve">. години, </w:t>
      </w:r>
      <w:r w:rsidRPr="00374601">
        <w:rPr>
          <w:rFonts w:ascii="Times New Roman" w:hAnsi="Times New Roman" w:cs="Times New Roman"/>
          <w:color w:val="000000"/>
          <w:sz w:val="24"/>
          <w:szCs w:val="24"/>
        </w:rPr>
        <w:t xml:space="preserve"> а сагласно одредбама члана 40. Закона о буџетском систему, буџетски корисници општине </w:t>
      </w:r>
      <w:r w:rsidR="0095650D" w:rsidRPr="00374601">
        <w:rPr>
          <w:rFonts w:ascii="Times New Roman" w:hAnsi="Times New Roman" w:cs="Times New Roman"/>
          <w:color w:val="000000"/>
          <w:sz w:val="24"/>
          <w:szCs w:val="24"/>
        </w:rPr>
        <w:t>Љубовија</w:t>
      </w:r>
      <w:r w:rsidR="007D0190">
        <w:rPr>
          <w:rFonts w:ascii="Times New Roman" w:hAnsi="Times New Roman" w:cs="Times New Roman"/>
          <w:color w:val="000000"/>
          <w:sz w:val="24"/>
          <w:szCs w:val="24"/>
        </w:rPr>
        <w:t xml:space="preserve"> су у обавези да</w:t>
      </w:r>
      <w:r w:rsidRPr="00374601">
        <w:rPr>
          <w:rFonts w:ascii="Times New Roman" w:hAnsi="Times New Roman" w:cs="Times New Roman"/>
          <w:color w:val="000000"/>
          <w:sz w:val="24"/>
          <w:szCs w:val="24"/>
        </w:rPr>
        <w:t xml:space="preserve"> при изради пре</w:t>
      </w:r>
      <w:r w:rsidR="00284BB3" w:rsidRPr="00374601">
        <w:rPr>
          <w:rFonts w:ascii="Times New Roman" w:hAnsi="Times New Roman" w:cs="Times New Roman"/>
          <w:color w:val="000000"/>
          <w:sz w:val="24"/>
          <w:szCs w:val="24"/>
        </w:rPr>
        <w:t>длога финансијског плана за 201</w:t>
      </w:r>
      <w:r w:rsidR="00021475">
        <w:rPr>
          <w:rFonts w:ascii="Times New Roman" w:hAnsi="Times New Roman" w:cs="Times New Roman"/>
          <w:color w:val="000000"/>
          <w:sz w:val="24"/>
          <w:szCs w:val="24"/>
        </w:rPr>
        <w:t>8</w:t>
      </w:r>
      <w:r w:rsidRPr="00374601">
        <w:rPr>
          <w:rFonts w:ascii="Times New Roman" w:hAnsi="Times New Roman" w:cs="Times New Roman"/>
          <w:color w:val="000000"/>
          <w:sz w:val="24"/>
          <w:szCs w:val="24"/>
        </w:rPr>
        <w:t xml:space="preserve">. годину </w:t>
      </w:r>
      <w:r w:rsidRPr="00374601">
        <w:rPr>
          <w:rFonts w:ascii="Times New Roman" w:hAnsi="Times New Roman" w:cs="Times New Roman"/>
          <w:sz w:val="24"/>
          <w:szCs w:val="24"/>
        </w:rPr>
        <w:t xml:space="preserve"> планирају расходе и издатке до нивоа утврђених овим Упутством, водећи рачуна при томе о донетим одлукама, уговореним обавезама и друго</w:t>
      </w:r>
      <w:r w:rsidR="0041016B" w:rsidRPr="00374601">
        <w:rPr>
          <w:rFonts w:ascii="Times New Roman" w:hAnsi="Times New Roman" w:cs="Times New Roman"/>
          <w:sz w:val="24"/>
          <w:szCs w:val="24"/>
        </w:rPr>
        <w:t>.</w:t>
      </w:r>
    </w:p>
    <w:p w:rsidR="00021475" w:rsidRDefault="007D0190" w:rsidP="00021475">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021475">
        <w:rPr>
          <w:rFonts w:ascii="TimesNewRomanPSMT" w:hAnsi="TimesNewRomanPSMT" w:cs="TimesNewRomanPSMT"/>
          <w:sz w:val="24"/>
          <w:szCs w:val="24"/>
        </w:rPr>
        <w:t>Полазна основа за планирање обима буџета за 201</w:t>
      </w:r>
      <w:r w:rsidR="00021475">
        <w:rPr>
          <w:rFonts w:ascii="Times New Roman" w:hAnsi="Times New Roman" w:cs="Times New Roman"/>
          <w:sz w:val="24"/>
          <w:szCs w:val="24"/>
        </w:rPr>
        <w:t>8</w:t>
      </w:r>
      <w:r w:rsidR="00021475">
        <w:rPr>
          <w:rFonts w:ascii="TimesNewRomanPSMT" w:hAnsi="TimesNewRomanPSMT" w:cs="TimesNewRomanPSMT"/>
          <w:sz w:val="24"/>
          <w:szCs w:val="24"/>
        </w:rPr>
        <w:t>. годину су планирани приходи и</w:t>
      </w:r>
      <w:r>
        <w:rPr>
          <w:rFonts w:ascii="TimesNewRomanPSMT" w:hAnsi="TimesNewRomanPSMT" w:cs="TimesNewRomanPSMT"/>
          <w:sz w:val="24"/>
          <w:szCs w:val="24"/>
        </w:rPr>
        <w:t xml:space="preserve"> </w:t>
      </w:r>
      <w:r w:rsidR="00021475">
        <w:rPr>
          <w:rFonts w:ascii="TimesNewRomanPSMT" w:hAnsi="TimesNewRomanPSMT" w:cs="TimesNewRomanPSMT"/>
          <w:sz w:val="24"/>
          <w:szCs w:val="24"/>
        </w:rPr>
        <w:t>примања из Одлуке о буџету  општине Љубовија за 201</w:t>
      </w:r>
      <w:r w:rsidR="00021475">
        <w:rPr>
          <w:rFonts w:ascii="Times New Roman" w:hAnsi="Times New Roman" w:cs="Times New Roman"/>
          <w:sz w:val="24"/>
          <w:szCs w:val="24"/>
        </w:rPr>
        <w:t>7</w:t>
      </w:r>
      <w:r w:rsidR="00021475">
        <w:rPr>
          <w:rFonts w:ascii="TimesNewRomanPSMT" w:hAnsi="TimesNewRomanPSMT" w:cs="TimesNewRomanPSMT"/>
          <w:sz w:val="24"/>
          <w:szCs w:val="24"/>
        </w:rPr>
        <w:t>. годину, као и планирани расходи и издаци из те Одлуке.</w:t>
      </w:r>
    </w:p>
    <w:p w:rsidR="007D0190" w:rsidRPr="007D0190" w:rsidRDefault="007D0190" w:rsidP="00021475">
      <w:pPr>
        <w:autoSpaceDE w:val="0"/>
        <w:autoSpaceDN w:val="0"/>
        <w:adjustRightInd w:val="0"/>
        <w:jc w:val="both"/>
        <w:rPr>
          <w:rFonts w:ascii="TimesNewRomanPSMT" w:hAnsi="TimesNewRomanPSMT" w:cs="TimesNewRomanPSMT"/>
          <w:sz w:val="24"/>
          <w:szCs w:val="24"/>
        </w:rPr>
      </w:pPr>
    </w:p>
    <w:p w:rsidR="00021475" w:rsidRPr="00021475" w:rsidRDefault="007D0190" w:rsidP="00021475">
      <w:pPr>
        <w:autoSpaceDE w:val="0"/>
        <w:autoSpaceDN w:val="0"/>
        <w:adjustRightInd w:val="0"/>
        <w:jc w:val="both"/>
        <w:rPr>
          <w:rFonts w:ascii="Times New Roman" w:hAnsi="Times New Roman" w:cs="Times New Roman"/>
          <w:sz w:val="24"/>
          <w:szCs w:val="24"/>
        </w:rPr>
      </w:pPr>
      <w:r>
        <w:rPr>
          <w:rFonts w:ascii="TimesNewRomanPSMT" w:hAnsi="TimesNewRomanPSMT" w:cs="TimesNewRomanPSMT"/>
          <w:sz w:val="24"/>
          <w:szCs w:val="24"/>
        </w:rPr>
        <w:t xml:space="preserve">             </w:t>
      </w:r>
      <w:r w:rsidR="00021475">
        <w:rPr>
          <w:rFonts w:ascii="TimesNewRomanPSMT" w:hAnsi="TimesNewRomanPSMT" w:cs="TimesNewRomanPSMT"/>
          <w:sz w:val="24"/>
          <w:szCs w:val="24"/>
        </w:rPr>
        <w:t>Основ политике планирања прихода и расхода мора бити у складу са реалним пројекцијама буџета општине Љубовија  за 201</w:t>
      </w:r>
      <w:r w:rsidR="00021475">
        <w:rPr>
          <w:rFonts w:ascii="Times New Roman" w:hAnsi="Times New Roman" w:cs="Times New Roman"/>
          <w:sz w:val="24"/>
          <w:szCs w:val="24"/>
        </w:rPr>
        <w:t>8</w:t>
      </w:r>
      <w:r w:rsidR="00021475">
        <w:rPr>
          <w:rFonts w:ascii="TimesNewRomanPSMT" w:hAnsi="TimesNewRomanPSMT" w:cs="TimesNewRomanPSMT"/>
          <w:sz w:val="24"/>
          <w:szCs w:val="24"/>
        </w:rPr>
        <w:t>. годину.</w:t>
      </w:r>
    </w:p>
    <w:p w:rsidR="00415ED6" w:rsidRPr="00374601" w:rsidRDefault="00415ED6" w:rsidP="00415ED6">
      <w:pPr>
        <w:pStyle w:val="ListParagraph"/>
        <w:autoSpaceDE w:val="0"/>
        <w:autoSpaceDN w:val="0"/>
        <w:adjustRightInd w:val="0"/>
        <w:ind w:left="780"/>
        <w:jc w:val="right"/>
        <w:rPr>
          <w:rFonts w:ascii="Times New Roman" w:hAnsi="Times New Roman" w:cs="Times New Roman"/>
          <w:sz w:val="24"/>
          <w:szCs w:val="24"/>
        </w:rPr>
      </w:pPr>
      <w:r w:rsidRPr="00374601">
        <w:rPr>
          <w:rFonts w:ascii="Times New Roman" w:hAnsi="Times New Roman" w:cs="Times New Roman"/>
          <w:sz w:val="24"/>
          <w:szCs w:val="24"/>
        </w:rPr>
        <w:t>у 000 дин.</w:t>
      </w:r>
    </w:p>
    <w:tbl>
      <w:tblPr>
        <w:tblStyle w:val="TableGrid"/>
        <w:tblW w:w="0" w:type="auto"/>
        <w:tblLook w:val="04A0"/>
      </w:tblPr>
      <w:tblGrid>
        <w:gridCol w:w="1379"/>
        <w:gridCol w:w="2932"/>
        <w:gridCol w:w="236"/>
        <w:gridCol w:w="1987"/>
        <w:gridCol w:w="1376"/>
        <w:gridCol w:w="1376"/>
      </w:tblGrid>
      <w:tr w:rsidR="00DC4FFF" w:rsidRPr="00374601" w:rsidTr="00A41DD9">
        <w:trPr>
          <w:trHeight w:val="462"/>
        </w:trPr>
        <w:tc>
          <w:tcPr>
            <w:tcW w:w="1379"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Ек.класиф</w:t>
            </w:r>
          </w:p>
        </w:tc>
        <w:tc>
          <w:tcPr>
            <w:tcW w:w="2933" w:type="dxa"/>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ОПИС</w:t>
            </w:r>
          </w:p>
        </w:tc>
        <w:tc>
          <w:tcPr>
            <w:tcW w:w="236" w:type="dxa"/>
          </w:tcPr>
          <w:p w:rsidR="00DC4FFF" w:rsidRPr="00374601" w:rsidRDefault="00DC4FFF" w:rsidP="00A162A7">
            <w:pPr>
              <w:autoSpaceDE w:val="0"/>
              <w:autoSpaceDN w:val="0"/>
              <w:adjustRightInd w:val="0"/>
              <w:jc w:val="both"/>
              <w:rPr>
                <w:rFonts w:ascii="Times New Roman" w:hAnsi="Times New Roman" w:cs="Times New Roman"/>
                <w:b/>
                <w:sz w:val="24"/>
                <w:szCs w:val="24"/>
              </w:rPr>
            </w:pPr>
          </w:p>
        </w:tc>
        <w:tc>
          <w:tcPr>
            <w:tcW w:w="4740" w:type="dxa"/>
            <w:gridSpan w:val="3"/>
          </w:tcPr>
          <w:p w:rsidR="00DC4FFF" w:rsidRPr="00374601" w:rsidRDefault="00DC4FFF" w:rsidP="00DC4FFF">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Пројекција</w:t>
            </w:r>
          </w:p>
        </w:tc>
      </w:tr>
      <w:tr w:rsidR="00415ED6" w:rsidRPr="00374601" w:rsidTr="00A41DD9">
        <w:tc>
          <w:tcPr>
            <w:tcW w:w="1379" w:type="dxa"/>
          </w:tcPr>
          <w:p w:rsidR="00415ED6" w:rsidRPr="00374601" w:rsidRDefault="00415ED6" w:rsidP="00603B00">
            <w:pPr>
              <w:autoSpaceDE w:val="0"/>
              <w:autoSpaceDN w:val="0"/>
              <w:adjustRightInd w:val="0"/>
              <w:jc w:val="center"/>
              <w:rPr>
                <w:rFonts w:ascii="Times New Roman" w:hAnsi="Times New Roman" w:cs="Times New Roman"/>
                <w:sz w:val="24"/>
                <w:szCs w:val="24"/>
              </w:rPr>
            </w:pPr>
          </w:p>
        </w:tc>
        <w:tc>
          <w:tcPr>
            <w:tcW w:w="2933" w:type="dxa"/>
          </w:tcPr>
          <w:p w:rsidR="00415ED6" w:rsidRPr="00374601" w:rsidRDefault="00415ED6" w:rsidP="00A162A7">
            <w:pPr>
              <w:autoSpaceDE w:val="0"/>
              <w:autoSpaceDN w:val="0"/>
              <w:adjustRightInd w:val="0"/>
              <w:jc w:val="both"/>
              <w:rPr>
                <w:rFonts w:ascii="Times New Roman" w:hAnsi="Times New Roman" w:cs="Times New Roman"/>
                <w:sz w:val="24"/>
                <w:szCs w:val="24"/>
              </w:rPr>
            </w:pPr>
          </w:p>
        </w:tc>
        <w:tc>
          <w:tcPr>
            <w:tcW w:w="236"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p>
        </w:tc>
        <w:tc>
          <w:tcPr>
            <w:tcW w:w="1988"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021475">
              <w:rPr>
                <w:rFonts w:ascii="Times New Roman" w:hAnsi="Times New Roman" w:cs="Times New Roman"/>
                <w:b/>
                <w:sz w:val="24"/>
                <w:szCs w:val="24"/>
              </w:rPr>
              <w:t>8</w:t>
            </w:r>
          </w:p>
        </w:tc>
        <w:tc>
          <w:tcPr>
            <w:tcW w:w="1376"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201</w:t>
            </w:r>
            <w:r w:rsidR="00021475">
              <w:rPr>
                <w:rFonts w:ascii="Times New Roman" w:hAnsi="Times New Roman" w:cs="Times New Roman"/>
                <w:b/>
                <w:sz w:val="24"/>
                <w:szCs w:val="24"/>
              </w:rPr>
              <w:t>9</w:t>
            </w:r>
          </w:p>
        </w:tc>
        <w:tc>
          <w:tcPr>
            <w:tcW w:w="1376" w:type="dxa"/>
          </w:tcPr>
          <w:p w:rsidR="00415ED6" w:rsidRPr="00021475" w:rsidRDefault="00415ED6" w:rsidP="00021475">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20</w:t>
            </w:r>
            <w:r w:rsidR="00021475">
              <w:rPr>
                <w:rFonts w:ascii="Times New Roman" w:hAnsi="Times New Roman" w:cs="Times New Roman"/>
                <w:b/>
                <w:sz w:val="24"/>
                <w:szCs w:val="24"/>
              </w:rPr>
              <w:t>20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71</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Порези</w:t>
            </w:r>
          </w:p>
        </w:tc>
        <w:tc>
          <w:tcPr>
            <w:tcW w:w="236" w:type="dxa"/>
          </w:tcPr>
          <w:p w:rsidR="00603B00" w:rsidRPr="003E3BC4" w:rsidRDefault="00603B00" w:rsidP="000C6286">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572246" w:rsidP="00DC4FF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195.000</w:t>
            </w:r>
          </w:p>
        </w:tc>
        <w:tc>
          <w:tcPr>
            <w:tcW w:w="1376" w:type="dxa"/>
          </w:tcPr>
          <w:p w:rsidR="00603B00" w:rsidRPr="00572246" w:rsidRDefault="00572246" w:rsidP="00415ED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205.000</w:t>
            </w:r>
          </w:p>
        </w:tc>
        <w:tc>
          <w:tcPr>
            <w:tcW w:w="1376" w:type="dxa"/>
          </w:tcPr>
          <w:p w:rsidR="00603B00" w:rsidRPr="00572246" w:rsidRDefault="00572246"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205.000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732</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Донације</w:t>
            </w:r>
          </w:p>
        </w:tc>
        <w:tc>
          <w:tcPr>
            <w:tcW w:w="236" w:type="dxa"/>
          </w:tcPr>
          <w:p w:rsidR="00603B00" w:rsidRPr="003E3BC4"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733</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Трансфери</w:t>
            </w:r>
          </w:p>
        </w:tc>
        <w:tc>
          <w:tcPr>
            <w:tcW w:w="236" w:type="dxa"/>
          </w:tcPr>
          <w:p w:rsidR="00603B00" w:rsidRPr="003E3BC4" w:rsidRDefault="00603B00" w:rsidP="000C6286">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572246"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w:t>
            </w:r>
            <w:r>
              <w:rPr>
                <w:rFonts w:ascii="Times New Roman" w:hAnsi="Times New Roman" w:cs="Times New Roman"/>
                <w:sz w:val="24"/>
                <w:szCs w:val="24"/>
              </w:rPr>
              <w:t>0.000</w:t>
            </w:r>
          </w:p>
        </w:tc>
        <w:tc>
          <w:tcPr>
            <w:tcW w:w="1376" w:type="dxa"/>
          </w:tcPr>
          <w:p w:rsidR="00603B00" w:rsidRPr="00572246" w:rsidRDefault="00572246" w:rsidP="00A13E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00</w:t>
            </w:r>
            <w:r>
              <w:rPr>
                <w:rFonts w:ascii="Times New Roman" w:hAnsi="Times New Roman" w:cs="Times New Roman"/>
                <w:sz w:val="24"/>
                <w:szCs w:val="24"/>
              </w:rPr>
              <w:t>.000</w:t>
            </w:r>
          </w:p>
        </w:tc>
        <w:tc>
          <w:tcPr>
            <w:tcW w:w="1376" w:type="dxa"/>
          </w:tcPr>
          <w:p w:rsidR="00603B00" w:rsidRPr="00572246" w:rsidRDefault="00572246" w:rsidP="00A13E3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00A13E3C">
              <w:rPr>
                <w:rFonts w:ascii="Times New Roman" w:hAnsi="Times New Roman" w:cs="Times New Roman"/>
                <w:sz w:val="24"/>
                <w:szCs w:val="24"/>
              </w:rPr>
              <w:t>00</w:t>
            </w:r>
            <w:r>
              <w:rPr>
                <w:rFonts w:ascii="Times New Roman" w:hAnsi="Times New Roman" w:cs="Times New Roman"/>
                <w:sz w:val="24"/>
                <w:szCs w:val="24"/>
              </w:rPr>
              <w:t>.000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74</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Други приходи</w:t>
            </w:r>
          </w:p>
        </w:tc>
        <w:tc>
          <w:tcPr>
            <w:tcW w:w="236" w:type="dxa"/>
          </w:tcPr>
          <w:p w:rsidR="00603B00" w:rsidRPr="003E3BC4" w:rsidRDefault="00603B00" w:rsidP="003E3BC4">
            <w:pPr>
              <w:autoSpaceDE w:val="0"/>
              <w:autoSpaceDN w:val="0"/>
              <w:adjustRightInd w:val="0"/>
              <w:jc w:val="center"/>
              <w:rPr>
                <w:rFonts w:ascii="Times New Roman" w:hAnsi="Times New Roman" w:cs="Times New Roman"/>
                <w:sz w:val="24"/>
                <w:szCs w:val="24"/>
              </w:rPr>
            </w:pPr>
          </w:p>
        </w:tc>
        <w:tc>
          <w:tcPr>
            <w:tcW w:w="1988" w:type="dxa"/>
          </w:tcPr>
          <w:p w:rsidR="00603B00" w:rsidRPr="00572246" w:rsidRDefault="007B0B8B" w:rsidP="00FE1E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r w:rsidR="00572246">
              <w:rPr>
                <w:rFonts w:ascii="Times New Roman" w:hAnsi="Times New Roman" w:cs="Times New Roman"/>
                <w:sz w:val="24"/>
                <w:szCs w:val="24"/>
              </w:rPr>
              <w:t>.000</w:t>
            </w:r>
          </w:p>
        </w:tc>
        <w:tc>
          <w:tcPr>
            <w:tcW w:w="1376" w:type="dxa"/>
          </w:tcPr>
          <w:p w:rsidR="00603B00" w:rsidRPr="00572246" w:rsidRDefault="00A13E3C" w:rsidP="00F974F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572246">
              <w:rPr>
                <w:rFonts w:ascii="Times New Roman" w:hAnsi="Times New Roman" w:cs="Times New Roman"/>
                <w:sz w:val="24"/>
                <w:szCs w:val="24"/>
              </w:rPr>
              <w:t>5.000</w:t>
            </w:r>
          </w:p>
        </w:tc>
        <w:tc>
          <w:tcPr>
            <w:tcW w:w="1376" w:type="dxa"/>
          </w:tcPr>
          <w:p w:rsidR="00603B00" w:rsidRPr="00572246" w:rsidRDefault="00A13E3C" w:rsidP="00FE1E4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r w:rsidR="00572246">
              <w:rPr>
                <w:rFonts w:ascii="Times New Roman" w:hAnsi="Times New Roman" w:cs="Times New Roman"/>
                <w:sz w:val="24"/>
                <w:szCs w:val="24"/>
              </w:rPr>
              <w:t>5.000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77</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Меморандумске ставке</w:t>
            </w:r>
          </w:p>
        </w:tc>
        <w:tc>
          <w:tcPr>
            <w:tcW w:w="236" w:type="dxa"/>
          </w:tcPr>
          <w:p w:rsidR="00603B00" w:rsidRPr="003E3BC4"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F974F2">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c>
          <w:tcPr>
            <w:tcW w:w="1376" w:type="dxa"/>
          </w:tcPr>
          <w:p w:rsidR="00603B00" w:rsidRPr="00374601" w:rsidRDefault="00FE1E4C" w:rsidP="00FE1E4C">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b/>
                <w:sz w:val="24"/>
                <w:szCs w:val="24"/>
              </w:rPr>
            </w:pPr>
            <w:r w:rsidRPr="00374601">
              <w:rPr>
                <w:rFonts w:ascii="Times New Roman" w:hAnsi="Times New Roman" w:cs="Times New Roman"/>
                <w:b/>
                <w:sz w:val="24"/>
                <w:szCs w:val="24"/>
              </w:rPr>
              <w:t>7</w:t>
            </w:r>
          </w:p>
        </w:tc>
        <w:tc>
          <w:tcPr>
            <w:tcW w:w="2933" w:type="dxa"/>
          </w:tcPr>
          <w:p w:rsidR="00603B00" w:rsidRPr="00374601" w:rsidRDefault="00603B00"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Текући приходи</w:t>
            </w:r>
          </w:p>
        </w:tc>
        <w:tc>
          <w:tcPr>
            <w:tcW w:w="236" w:type="dxa"/>
          </w:tcPr>
          <w:p w:rsidR="00603B00" w:rsidRPr="003E3BC4" w:rsidRDefault="00603B00" w:rsidP="000C6286">
            <w:pPr>
              <w:autoSpaceDE w:val="0"/>
              <w:autoSpaceDN w:val="0"/>
              <w:adjustRightInd w:val="0"/>
              <w:jc w:val="both"/>
              <w:rPr>
                <w:rFonts w:ascii="Times New Roman" w:hAnsi="Times New Roman" w:cs="Times New Roman"/>
                <w:b/>
                <w:sz w:val="24"/>
                <w:szCs w:val="24"/>
              </w:rPr>
            </w:pPr>
          </w:p>
        </w:tc>
        <w:tc>
          <w:tcPr>
            <w:tcW w:w="1988" w:type="dxa"/>
          </w:tcPr>
          <w:p w:rsidR="00603B00" w:rsidRPr="00572246" w:rsidRDefault="00572246"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465.000</w:t>
            </w:r>
          </w:p>
        </w:tc>
        <w:tc>
          <w:tcPr>
            <w:tcW w:w="1376" w:type="dxa"/>
          </w:tcPr>
          <w:p w:rsidR="00603B00" w:rsidRPr="00572246" w:rsidRDefault="00572246" w:rsidP="00485C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485.000</w:t>
            </w:r>
          </w:p>
        </w:tc>
        <w:tc>
          <w:tcPr>
            <w:tcW w:w="1376" w:type="dxa"/>
          </w:tcPr>
          <w:p w:rsidR="00603B00" w:rsidRPr="00572246" w:rsidRDefault="00572246"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485.000</w:t>
            </w: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8</w:t>
            </w:r>
          </w:p>
        </w:tc>
        <w:tc>
          <w:tcPr>
            <w:tcW w:w="2933" w:type="dxa"/>
          </w:tcPr>
          <w:p w:rsidR="00603B00" w:rsidRPr="00374601" w:rsidRDefault="00603B00"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продаје нефинансијске имовине</w:t>
            </w:r>
          </w:p>
        </w:tc>
        <w:tc>
          <w:tcPr>
            <w:tcW w:w="23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r w:rsidRPr="00374601">
              <w:rPr>
                <w:rFonts w:ascii="Times New Roman" w:hAnsi="Times New Roman" w:cs="Times New Roman"/>
                <w:sz w:val="24"/>
                <w:szCs w:val="24"/>
              </w:rPr>
              <w:t>91</w:t>
            </w:r>
          </w:p>
        </w:tc>
        <w:tc>
          <w:tcPr>
            <w:tcW w:w="2933" w:type="dxa"/>
          </w:tcPr>
          <w:p w:rsidR="00603B00" w:rsidRPr="00374601" w:rsidRDefault="00DC4FFF"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Примања од задуживања</w:t>
            </w:r>
          </w:p>
        </w:tc>
        <w:tc>
          <w:tcPr>
            <w:tcW w:w="236"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988" w:type="dxa"/>
          </w:tcPr>
          <w:p w:rsidR="00603B00" w:rsidRPr="00374601" w:rsidRDefault="00603B00" w:rsidP="00415ED6">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c>
          <w:tcPr>
            <w:tcW w:w="1376" w:type="dxa"/>
          </w:tcPr>
          <w:p w:rsidR="00603B00" w:rsidRPr="00374601" w:rsidRDefault="00603B00" w:rsidP="00FE1E4C">
            <w:pPr>
              <w:autoSpaceDE w:val="0"/>
              <w:autoSpaceDN w:val="0"/>
              <w:adjustRightInd w:val="0"/>
              <w:jc w:val="center"/>
              <w:rPr>
                <w:rFonts w:ascii="Times New Roman" w:hAnsi="Times New Roman" w:cs="Times New Roman"/>
                <w:sz w:val="24"/>
                <w:szCs w:val="24"/>
              </w:rPr>
            </w:pPr>
          </w:p>
        </w:tc>
      </w:tr>
      <w:tr w:rsidR="00DC4FFF" w:rsidRPr="00374601" w:rsidTr="00A41DD9">
        <w:tc>
          <w:tcPr>
            <w:tcW w:w="1379" w:type="dxa"/>
          </w:tcPr>
          <w:p w:rsidR="00603B00" w:rsidRPr="00374601" w:rsidRDefault="00603B00" w:rsidP="00603B00">
            <w:pPr>
              <w:autoSpaceDE w:val="0"/>
              <w:autoSpaceDN w:val="0"/>
              <w:adjustRightInd w:val="0"/>
              <w:jc w:val="center"/>
              <w:rPr>
                <w:rFonts w:ascii="Times New Roman" w:hAnsi="Times New Roman" w:cs="Times New Roman"/>
                <w:sz w:val="24"/>
                <w:szCs w:val="24"/>
              </w:rPr>
            </w:pPr>
          </w:p>
        </w:tc>
        <w:tc>
          <w:tcPr>
            <w:tcW w:w="2933" w:type="dxa"/>
          </w:tcPr>
          <w:p w:rsidR="00603B00" w:rsidRPr="00374601" w:rsidRDefault="00DC4FFF" w:rsidP="00A162A7">
            <w:pPr>
              <w:autoSpaceDE w:val="0"/>
              <w:autoSpaceDN w:val="0"/>
              <w:adjustRightInd w:val="0"/>
              <w:jc w:val="both"/>
              <w:rPr>
                <w:rFonts w:ascii="Times New Roman" w:hAnsi="Times New Roman" w:cs="Times New Roman"/>
                <w:b/>
                <w:sz w:val="24"/>
                <w:szCs w:val="24"/>
              </w:rPr>
            </w:pPr>
            <w:r w:rsidRPr="00374601">
              <w:rPr>
                <w:rFonts w:ascii="Times New Roman" w:hAnsi="Times New Roman" w:cs="Times New Roman"/>
                <w:b/>
                <w:sz w:val="24"/>
                <w:szCs w:val="24"/>
              </w:rPr>
              <w:t>УКУПНИ ПРИХОДИ И ПРИМАЊА</w:t>
            </w:r>
          </w:p>
        </w:tc>
        <w:tc>
          <w:tcPr>
            <w:tcW w:w="236" w:type="dxa"/>
          </w:tcPr>
          <w:p w:rsidR="00603B00" w:rsidRPr="000C6286" w:rsidRDefault="00603B00" w:rsidP="000C6286">
            <w:pPr>
              <w:autoSpaceDE w:val="0"/>
              <w:autoSpaceDN w:val="0"/>
              <w:adjustRightInd w:val="0"/>
              <w:jc w:val="center"/>
              <w:rPr>
                <w:rFonts w:ascii="Times New Roman" w:hAnsi="Times New Roman" w:cs="Times New Roman"/>
                <w:b/>
                <w:sz w:val="24"/>
                <w:szCs w:val="24"/>
              </w:rPr>
            </w:pPr>
          </w:p>
        </w:tc>
        <w:tc>
          <w:tcPr>
            <w:tcW w:w="1988" w:type="dxa"/>
          </w:tcPr>
          <w:p w:rsidR="00603B00" w:rsidRPr="00572246" w:rsidRDefault="00572246" w:rsidP="00F974F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465.000</w:t>
            </w:r>
          </w:p>
        </w:tc>
        <w:tc>
          <w:tcPr>
            <w:tcW w:w="1376" w:type="dxa"/>
          </w:tcPr>
          <w:p w:rsidR="00603B00" w:rsidRPr="00572246" w:rsidRDefault="00572246" w:rsidP="00485C2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485.000</w:t>
            </w:r>
          </w:p>
        </w:tc>
        <w:tc>
          <w:tcPr>
            <w:tcW w:w="1376" w:type="dxa"/>
          </w:tcPr>
          <w:p w:rsidR="00603B00" w:rsidRPr="00572246" w:rsidRDefault="00572246" w:rsidP="0027438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485.000</w:t>
            </w:r>
          </w:p>
        </w:tc>
      </w:tr>
    </w:tbl>
    <w:p w:rsidR="00A162A7" w:rsidRPr="00374601" w:rsidRDefault="00A162A7" w:rsidP="00A162A7">
      <w:pPr>
        <w:autoSpaceDE w:val="0"/>
        <w:autoSpaceDN w:val="0"/>
        <w:adjustRightInd w:val="0"/>
        <w:ind w:firstLine="720"/>
        <w:jc w:val="both"/>
        <w:rPr>
          <w:rFonts w:ascii="Times New Roman" w:hAnsi="Times New Roman" w:cs="Times New Roman"/>
          <w:b/>
          <w:bCs/>
          <w:color w:val="000000"/>
          <w:sz w:val="24"/>
          <w:szCs w:val="24"/>
          <w:u w:val="single"/>
        </w:rPr>
      </w:pPr>
      <w:r w:rsidRPr="00374601">
        <w:rPr>
          <w:rFonts w:ascii="Times New Roman" w:hAnsi="Times New Roman" w:cs="Times New Roman"/>
          <w:b/>
          <w:bCs/>
          <w:color w:val="000000"/>
          <w:sz w:val="24"/>
          <w:szCs w:val="24"/>
          <w:u w:val="single"/>
        </w:rPr>
        <w:lastRenderedPageBreak/>
        <w:t xml:space="preserve">Преглед обима средстава </w:t>
      </w:r>
    </w:p>
    <w:p w:rsidR="00A162A7" w:rsidRPr="00374601" w:rsidRDefault="007D0190" w:rsidP="00953362">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162A7" w:rsidRPr="00374601">
        <w:rPr>
          <w:rFonts w:ascii="Times New Roman" w:hAnsi="Times New Roman" w:cs="Times New Roman"/>
          <w:color w:val="000000"/>
          <w:sz w:val="24"/>
          <w:szCs w:val="24"/>
        </w:rPr>
        <w:t xml:space="preserve">Правни основ за утврђивање предлога обима средстава у финансијским плановима директних и индиректних корисника средстава буџета локалне власти садржан је у члану 40. тачка 4. Закона о буџетском систему. </w:t>
      </w:r>
    </w:p>
    <w:p w:rsidR="00A162A7" w:rsidRPr="00374601" w:rsidRDefault="007D0190" w:rsidP="00953362">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A162A7" w:rsidRPr="00374601">
        <w:rPr>
          <w:rFonts w:ascii="Times New Roman" w:hAnsi="Times New Roman" w:cs="Times New Roman"/>
          <w:color w:val="000000"/>
          <w:sz w:val="24"/>
          <w:szCs w:val="24"/>
        </w:rPr>
        <w:t xml:space="preserve">Лимити расхода за буџетске кориснике општине </w:t>
      </w:r>
      <w:r w:rsidR="00E51800" w:rsidRPr="00374601">
        <w:rPr>
          <w:rFonts w:ascii="Times New Roman" w:hAnsi="Times New Roman" w:cs="Times New Roman"/>
          <w:color w:val="000000"/>
          <w:sz w:val="24"/>
          <w:szCs w:val="24"/>
        </w:rPr>
        <w:t>Љубовија</w:t>
      </w:r>
      <w:r w:rsidR="00284BB3" w:rsidRPr="00374601">
        <w:rPr>
          <w:rFonts w:ascii="Times New Roman" w:hAnsi="Times New Roman" w:cs="Times New Roman"/>
          <w:color w:val="000000"/>
          <w:sz w:val="24"/>
          <w:szCs w:val="24"/>
        </w:rPr>
        <w:t xml:space="preserve"> за 201</w:t>
      </w:r>
      <w:r w:rsidR="00021475">
        <w:rPr>
          <w:rFonts w:ascii="Times New Roman" w:hAnsi="Times New Roman" w:cs="Times New Roman"/>
          <w:color w:val="000000"/>
          <w:sz w:val="24"/>
          <w:szCs w:val="24"/>
        </w:rPr>
        <w:t>8</w:t>
      </w:r>
      <w:r w:rsidR="00A162A7" w:rsidRPr="00374601">
        <w:rPr>
          <w:rFonts w:ascii="Times New Roman" w:hAnsi="Times New Roman" w:cs="Times New Roman"/>
          <w:color w:val="000000"/>
          <w:sz w:val="24"/>
          <w:szCs w:val="24"/>
        </w:rPr>
        <w:t xml:space="preserve">. годину, дати су на бази сагледавања потребних средстава за рад и функционисање буџетских корисника, створених обавеза и могућности смањења појединих расхода у оквиру директних и индиректних буџетских корисника, као и најављених законских прописа од стране Владе Републике </w:t>
      </w:r>
      <w:r w:rsidR="00A162A7" w:rsidRPr="00374601">
        <w:rPr>
          <w:rFonts w:ascii="Times New Roman" w:hAnsi="Times New Roman" w:cs="Times New Roman"/>
          <w:sz w:val="24"/>
          <w:szCs w:val="24"/>
        </w:rPr>
        <w:t xml:space="preserve">Србије а које ће бити у смислу растерећења привреде, односно смањења појединих јавних прихода. </w:t>
      </w:r>
    </w:p>
    <w:p w:rsidR="007D0190" w:rsidRDefault="00A162A7" w:rsidP="00284BB3">
      <w:pPr>
        <w:autoSpaceDE w:val="0"/>
        <w:autoSpaceDN w:val="0"/>
        <w:adjustRightInd w:val="0"/>
        <w:spacing w:after="120"/>
        <w:ind w:firstLine="720"/>
        <w:jc w:val="center"/>
        <w:rPr>
          <w:rFonts w:ascii="Times New Roman" w:hAnsi="Times New Roman" w:cs="Times New Roman"/>
          <w:b/>
          <w:bCs/>
          <w:sz w:val="24"/>
          <w:szCs w:val="24"/>
        </w:rPr>
      </w:pPr>
      <w:r w:rsidRPr="00374601">
        <w:rPr>
          <w:rFonts w:ascii="Times New Roman" w:hAnsi="Times New Roman" w:cs="Times New Roman"/>
          <w:b/>
          <w:bCs/>
          <w:sz w:val="24"/>
          <w:szCs w:val="24"/>
        </w:rPr>
        <w:t>Преглед лимита укупних расхода буџетских корисника у 201</w:t>
      </w:r>
      <w:r w:rsidR="00284BB3" w:rsidRPr="00374601">
        <w:rPr>
          <w:rFonts w:ascii="Times New Roman" w:hAnsi="Times New Roman" w:cs="Times New Roman"/>
          <w:b/>
          <w:bCs/>
          <w:sz w:val="24"/>
          <w:szCs w:val="24"/>
        </w:rPr>
        <w:t>7</w:t>
      </w:r>
      <w:r w:rsidRPr="00374601">
        <w:rPr>
          <w:rFonts w:ascii="Times New Roman" w:hAnsi="Times New Roman" w:cs="Times New Roman"/>
          <w:b/>
          <w:bCs/>
          <w:sz w:val="24"/>
          <w:szCs w:val="24"/>
        </w:rPr>
        <w:t xml:space="preserve">. години из извора финансирања 01 – приходи из буџета </w:t>
      </w:r>
      <w:r w:rsidR="00284BB3" w:rsidRPr="00374601">
        <w:rPr>
          <w:rFonts w:ascii="Times New Roman" w:hAnsi="Times New Roman" w:cs="Times New Roman"/>
          <w:b/>
          <w:bCs/>
          <w:sz w:val="24"/>
          <w:szCs w:val="24"/>
        </w:rPr>
        <w:t xml:space="preserve">                                                                                                  </w:t>
      </w:r>
      <w:r w:rsidR="007D0190">
        <w:rPr>
          <w:rFonts w:ascii="Times New Roman" w:hAnsi="Times New Roman" w:cs="Times New Roman"/>
          <w:b/>
          <w:bCs/>
          <w:sz w:val="24"/>
          <w:szCs w:val="24"/>
        </w:rPr>
        <w:t xml:space="preserve"> </w:t>
      </w:r>
    </w:p>
    <w:p w:rsidR="00FE1E4C" w:rsidRPr="00374601" w:rsidRDefault="007D0190" w:rsidP="00284BB3">
      <w:pPr>
        <w:autoSpaceDE w:val="0"/>
        <w:autoSpaceDN w:val="0"/>
        <w:adjustRightInd w:val="0"/>
        <w:spacing w:after="120"/>
        <w:ind w:firstLine="720"/>
        <w:jc w:val="center"/>
        <w:rPr>
          <w:rFonts w:ascii="Times New Roman" w:hAnsi="Times New Roman" w:cs="Times New Roman"/>
          <w:sz w:val="24"/>
          <w:szCs w:val="24"/>
        </w:rPr>
      </w:pPr>
      <w:r>
        <w:rPr>
          <w:rFonts w:ascii="Times New Roman" w:hAnsi="Times New Roman" w:cs="Times New Roman"/>
          <w:b/>
          <w:bCs/>
          <w:sz w:val="24"/>
          <w:szCs w:val="24"/>
        </w:rPr>
        <w:t xml:space="preserve">                                                                                                                   </w:t>
      </w:r>
      <w:r w:rsidR="00284BB3" w:rsidRPr="00374601">
        <w:rPr>
          <w:rFonts w:ascii="Times New Roman" w:hAnsi="Times New Roman" w:cs="Times New Roman"/>
          <w:b/>
          <w:bCs/>
          <w:sz w:val="24"/>
          <w:szCs w:val="24"/>
        </w:rPr>
        <w:t>у 0</w:t>
      </w:r>
      <w:r w:rsidR="00FE1E4C" w:rsidRPr="00374601">
        <w:rPr>
          <w:rFonts w:ascii="Times New Roman" w:hAnsi="Times New Roman" w:cs="Times New Roman"/>
          <w:b/>
          <w:bCs/>
          <w:sz w:val="24"/>
          <w:szCs w:val="24"/>
        </w:rPr>
        <w:t>00 динара</w:t>
      </w:r>
    </w:p>
    <w:tbl>
      <w:tblPr>
        <w:tblW w:w="9606" w:type="dxa"/>
        <w:tblBorders>
          <w:top w:val="single" w:sz="6" w:space="0" w:color="000000"/>
          <w:left w:val="single" w:sz="6" w:space="0" w:color="000000"/>
          <w:bottom w:val="single" w:sz="6" w:space="0" w:color="000000"/>
          <w:right w:val="single" w:sz="6" w:space="0" w:color="000000"/>
        </w:tblBorders>
        <w:tblLayout w:type="fixed"/>
        <w:tblLook w:val="0000"/>
      </w:tblPr>
      <w:tblGrid>
        <w:gridCol w:w="778"/>
        <w:gridCol w:w="4575"/>
        <w:gridCol w:w="425"/>
        <w:gridCol w:w="425"/>
        <w:gridCol w:w="709"/>
        <w:gridCol w:w="1276"/>
        <w:gridCol w:w="1418"/>
      </w:tblGrid>
      <w:tr w:rsidR="0043101E" w:rsidRPr="00374601" w:rsidTr="007D0190">
        <w:trPr>
          <w:trHeight w:val="231"/>
        </w:trPr>
        <w:tc>
          <w:tcPr>
            <w:tcW w:w="778" w:type="dxa"/>
            <w:vMerge w:val="restart"/>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Р.б. </w:t>
            </w:r>
          </w:p>
        </w:tc>
        <w:tc>
          <w:tcPr>
            <w:tcW w:w="4575" w:type="dxa"/>
            <w:vMerge w:val="restart"/>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БУЏЕТСКИ КОРИСНИК </w:t>
            </w:r>
          </w:p>
        </w:tc>
        <w:tc>
          <w:tcPr>
            <w:tcW w:w="850" w:type="dxa"/>
            <w:gridSpan w:val="2"/>
            <w:tcBorders>
              <w:top w:val="single" w:sz="8" w:space="0" w:color="000000"/>
              <w:left w:val="single" w:sz="8" w:space="0" w:color="000000"/>
              <w:bottom w:val="single" w:sz="4" w:space="0" w:color="auto"/>
              <w:right w:val="nil"/>
            </w:tcBorders>
          </w:tcPr>
          <w:p w:rsidR="0043101E" w:rsidRPr="00374601" w:rsidRDefault="0043101E" w:rsidP="00A41DD9"/>
        </w:tc>
        <w:tc>
          <w:tcPr>
            <w:tcW w:w="3403" w:type="dxa"/>
            <w:gridSpan w:val="3"/>
            <w:tcBorders>
              <w:top w:val="single" w:sz="8" w:space="0" w:color="000000"/>
              <w:left w:val="nil"/>
              <w:bottom w:val="single" w:sz="4" w:space="0" w:color="auto"/>
              <w:right w:val="single" w:sz="4" w:space="0" w:color="auto"/>
            </w:tcBorders>
          </w:tcPr>
          <w:p w:rsidR="0043101E" w:rsidRPr="00374601" w:rsidRDefault="0043101E" w:rsidP="00A41DD9">
            <w:r w:rsidRPr="00374601">
              <w:rPr>
                <w:rFonts w:ascii="Times New Roman" w:hAnsi="Times New Roman" w:cs="Times New Roman"/>
                <w:b/>
                <w:bCs/>
                <w:color w:val="000000"/>
                <w:sz w:val="24"/>
                <w:szCs w:val="24"/>
              </w:rPr>
              <w:t>Укупни лимити из буџета</w:t>
            </w:r>
          </w:p>
        </w:tc>
      </w:tr>
      <w:tr w:rsidR="0043101E" w:rsidRPr="00054A78" w:rsidTr="007D0190">
        <w:trPr>
          <w:trHeight w:val="159"/>
        </w:trPr>
        <w:tc>
          <w:tcPr>
            <w:tcW w:w="778" w:type="dxa"/>
            <w:vMerge/>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rPr>
                <w:rFonts w:ascii="Times New Roman" w:hAnsi="Times New Roman" w:cs="Times New Roman"/>
                <w:sz w:val="24"/>
                <w:szCs w:val="24"/>
              </w:rPr>
            </w:pPr>
          </w:p>
        </w:tc>
        <w:tc>
          <w:tcPr>
            <w:tcW w:w="4575" w:type="dxa"/>
            <w:vMerge/>
            <w:tcBorders>
              <w:top w:val="single" w:sz="8" w:space="0" w:color="000000"/>
              <w:left w:val="single" w:sz="8" w:space="0" w:color="000000"/>
              <w:bottom w:val="single" w:sz="8" w:space="0" w:color="000000"/>
              <w:right w:val="single" w:sz="8" w:space="0" w:color="000000"/>
            </w:tcBorders>
          </w:tcPr>
          <w:p w:rsidR="0043101E" w:rsidRPr="00374601" w:rsidRDefault="0043101E" w:rsidP="00A162A7">
            <w:pPr>
              <w:autoSpaceDE w:val="0"/>
              <w:autoSpaceDN w:val="0"/>
              <w:adjustRightInd w:val="0"/>
              <w:rPr>
                <w:rFonts w:ascii="Times New Roman" w:hAnsi="Times New Roman" w:cs="Times New Roman"/>
                <w:sz w:val="24"/>
                <w:szCs w:val="24"/>
              </w:rPr>
            </w:pPr>
          </w:p>
        </w:tc>
        <w:tc>
          <w:tcPr>
            <w:tcW w:w="425" w:type="dxa"/>
            <w:tcBorders>
              <w:top w:val="single" w:sz="4" w:space="0" w:color="auto"/>
              <w:left w:val="single" w:sz="8" w:space="0" w:color="000000"/>
              <w:bottom w:val="single" w:sz="8" w:space="0" w:color="000000"/>
              <w:right w:val="nil"/>
            </w:tcBorders>
          </w:tcPr>
          <w:p w:rsidR="0043101E" w:rsidRPr="007D0190" w:rsidRDefault="0043101E" w:rsidP="00A41DD9">
            <w:pPr>
              <w:autoSpaceDE w:val="0"/>
              <w:autoSpaceDN w:val="0"/>
              <w:adjustRightInd w:val="0"/>
              <w:rPr>
                <w:rFonts w:ascii="Times New Roman" w:hAnsi="Times New Roman" w:cs="Times New Roman"/>
                <w:color w:val="000000"/>
                <w:sz w:val="24"/>
                <w:szCs w:val="24"/>
              </w:rPr>
            </w:pPr>
          </w:p>
        </w:tc>
        <w:tc>
          <w:tcPr>
            <w:tcW w:w="1134" w:type="dxa"/>
            <w:gridSpan w:val="2"/>
            <w:tcBorders>
              <w:top w:val="single" w:sz="4" w:space="0" w:color="auto"/>
              <w:left w:val="nil"/>
              <w:bottom w:val="single" w:sz="8" w:space="0" w:color="000000"/>
              <w:right w:val="single" w:sz="8" w:space="0" w:color="000000"/>
            </w:tcBorders>
          </w:tcPr>
          <w:p w:rsidR="0043101E" w:rsidRDefault="007D0190" w:rsidP="00A41D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Лимит</w:t>
            </w:r>
          </w:p>
          <w:p w:rsidR="007D0190" w:rsidRPr="007D0190" w:rsidRDefault="007D0190" w:rsidP="00A41DD9">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2018.год</w:t>
            </w:r>
          </w:p>
        </w:tc>
        <w:tc>
          <w:tcPr>
            <w:tcW w:w="1276" w:type="dxa"/>
            <w:tcBorders>
              <w:top w:val="single" w:sz="8" w:space="0" w:color="000000"/>
              <w:left w:val="single" w:sz="8" w:space="0" w:color="000000"/>
              <w:bottom w:val="single" w:sz="8" w:space="0" w:color="000000"/>
              <w:right w:val="single" w:sz="4" w:space="0" w:color="auto"/>
            </w:tcBorders>
          </w:tcPr>
          <w:p w:rsidR="0043101E" w:rsidRPr="00374601" w:rsidRDefault="0043101E" w:rsidP="00297EB6">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Лимит </w:t>
            </w:r>
            <w:r w:rsidRPr="00374601">
              <w:rPr>
                <w:rFonts w:ascii="Times New Roman" w:hAnsi="Times New Roman" w:cs="Times New Roman"/>
                <w:b/>
                <w:bCs/>
                <w:color w:val="000000"/>
                <w:sz w:val="24"/>
                <w:szCs w:val="24"/>
              </w:rPr>
              <w:t xml:space="preserve">2019. год.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3101E" w:rsidRPr="00054A78" w:rsidRDefault="0043101E" w:rsidP="007D0190">
            <w:pPr>
              <w:rPr>
                <w:rFonts w:ascii="Times New Roman" w:hAnsi="Times New Roman" w:cs="Times New Roman"/>
                <w:b/>
                <w:sz w:val="24"/>
                <w:szCs w:val="24"/>
              </w:rPr>
            </w:pPr>
            <w:r>
              <w:rPr>
                <w:rFonts w:ascii="Times New Roman" w:hAnsi="Times New Roman" w:cs="Times New Roman"/>
                <w:b/>
                <w:sz w:val="24"/>
                <w:szCs w:val="24"/>
              </w:rPr>
              <w:t xml:space="preserve">Лимит </w:t>
            </w:r>
            <w:r w:rsidRPr="00054A78">
              <w:rPr>
                <w:rFonts w:ascii="Times New Roman" w:hAnsi="Times New Roman" w:cs="Times New Roman"/>
                <w:b/>
                <w:sz w:val="24"/>
                <w:szCs w:val="24"/>
              </w:rPr>
              <w:t>2020.год</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Скупштина општине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4.700.</w:t>
            </w:r>
          </w:p>
        </w:tc>
        <w:tc>
          <w:tcPr>
            <w:tcW w:w="1276" w:type="dxa"/>
            <w:tcBorders>
              <w:top w:val="single" w:sz="8" w:space="0" w:color="000000"/>
              <w:left w:val="single" w:sz="8" w:space="0" w:color="000000"/>
              <w:bottom w:val="single" w:sz="4" w:space="0" w:color="auto"/>
              <w:right w:val="single" w:sz="4" w:space="0" w:color="auto"/>
            </w:tcBorders>
          </w:tcPr>
          <w:p w:rsidR="00A41DD9" w:rsidRPr="0043101E" w:rsidRDefault="00A41DD9" w:rsidP="00FE1E4C">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4.700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4.700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2.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Председник општине – Изврш. органи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13.000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485C2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15.000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2.1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Цивилна заштита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6.000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6.000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6.000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3.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F974F2">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Општинска управа – Укупно</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6261B">
              <w:rPr>
                <w:rFonts w:ascii="Times New Roman" w:hAnsi="Times New Roman" w:cs="Times New Roman"/>
                <w:color w:val="000000"/>
                <w:sz w:val="24"/>
                <w:szCs w:val="24"/>
              </w:rPr>
              <w:t>44</w:t>
            </w:r>
            <w:r w:rsidRPr="0043101E">
              <w:rPr>
                <w:rFonts w:ascii="Times New Roman" w:hAnsi="Times New Roman" w:cs="Times New Roman"/>
                <w:color w:val="000000"/>
                <w:sz w:val="24"/>
                <w:szCs w:val="24"/>
              </w:rPr>
              <w:t>.</w:t>
            </w:r>
            <w:r w:rsidR="00E6261B">
              <w:rPr>
                <w:rFonts w:ascii="Times New Roman" w:hAnsi="Times New Roman" w:cs="Times New Roman"/>
                <w:color w:val="000000"/>
                <w:sz w:val="24"/>
                <w:szCs w:val="24"/>
              </w:rPr>
              <w:t>9</w:t>
            </w:r>
            <w:r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A41DD9"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355</w:t>
            </w:r>
            <w:r w:rsidR="00A41DD9">
              <w:rPr>
                <w:rFonts w:ascii="Times New Roman" w:hAnsi="Times New Roman" w:cs="Times New Roman"/>
                <w:color w:val="000000"/>
                <w:sz w:val="24"/>
                <w:szCs w:val="24"/>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A41DD9" w:rsidRDefault="00A41DD9"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w:t>
            </w:r>
            <w:r w:rsidR="00B4067A">
              <w:rPr>
                <w:rFonts w:ascii="Times New Roman" w:hAnsi="Times New Roman" w:cs="Times New Roman"/>
                <w:color w:val="000000"/>
                <w:sz w:val="24"/>
                <w:szCs w:val="24"/>
              </w:rPr>
              <w:t>5</w:t>
            </w:r>
            <w:r w:rsidR="00E6261B">
              <w:rPr>
                <w:rFonts w:ascii="Times New Roman" w:hAnsi="Times New Roman" w:cs="Times New Roman"/>
                <w:color w:val="000000"/>
                <w:sz w:val="24"/>
                <w:szCs w:val="24"/>
              </w:rPr>
              <w:t>5</w:t>
            </w:r>
            <w:r>
              <w:rPr>
                <w:rFonts w:ascii="Times New Roman" w:hAnsi="Times New Roman" w:cs="Times New Roman"/>
                <w:color w:val="000000"/>
                <w:sz w:val="24"/>
                <w:szCs w:val="24"/>
              </w:rPr>
              <w:t>.800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4.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Дом здравља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5.500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r w:rsidRPr="0043101E">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6</w:t>
            </w:r>
            <w:r w:rsidR="00E6261B">
              <w:rPr>
                <w:rFonts w:ascii="Times New Roman" w:hAnsi="Times New Roman" w:cs="Times New Roman"/>
                <w:color w:val="000000"/>
                <w:sz w:val="24"/>
                <w:szCs w:val="24"/>
              </w:rPr>
              <w:t>.0</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5.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Основно образовање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6261B">
              <w:rPr>
                <w:rFonts w:ascii="Times New Roman" w:hAnsi="Times New Roman" w:cs="Times New Roman"/>
                <w:color w:val="000000"/>
                <w:sz w:val="24"/>
                <w:szCs w:val="24"/>
              </w:rPr>
              <w:t>1</w:t>
            </w:r>
            <w:r w:rsidRPr="0043101E">
              <w:rPr>
                <w:rFonts w:ascii="Times New Roman" w:hAnsi="Times New Roman" w:cs="Times New Roman"/>
                <w:color w:val="000000"/>
                <w:sz w:val="24"/>
                <w:szCs w:val="24"/>
              </w:rPr>
              <w:t>.</w:t>
            </w:r>
            <w:r w:rsidR="00E6261B">
              <w:rPr>
                <w:rFonts w:ascii="Times New Roman" w:hAnsi="Times New Roman" w:cs="Times New Roman"/>
                <w:color w:val="000000"/>
                <w:sz w:val="24"/>
                <w:szCs w:val="24"/>
              </w:rPr>
              <w:t>0</w:t>
            </w:r>
            <w:r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6261B">
              <w:rPr>
                <w:rFonts w:ascii="Times New Roman" w:hAnsi="Times New Roman" w:cs="Times New Roman"/>
                <w:color w:val="000000"/>
                <w:sz w:val="24"/>
                <w:szCs w:val="24"/>
              </w:rPr>
              <w:t>3</w:t>
            </w:r>
            <w:r w:rsidRPr="0043101E">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3</w:t>
            </w:r>
            <w:r w:rsidR="00E6261B">
              <w:rPr>
                <w:rFonts w:ascii="Times New Roman" w:hAnsi="Times New Roman" w:cs="Times New Roman"/>
                <w:color w:val="000000"/>
                <w:sz w:val="24"/>
                <w:szCs w:val="24"/>
              </w:rPr>
              <w:t>3.0</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6</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Средње образовање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6.500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Pr="0043101E">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7</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7.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Предшколска установа  „Полетарац“</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E6261B">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2</w:t>
            </w:r>
            <w:r w:rsidR="00E6261B">
              <w:rPr>
                <w:rFonts w:ascii="Times New Roman" w:hAnsi="Times New Roman" w:cs="Times New Roman"/>
                <w:color w:val="000000"/>
                <w:sz w:val="24"/>
                <w:szCs w:val="24"/>
              </w:rPr>
              <w:t>9</w:t>
            </w:r>
            <w:r w:rsidRPr="0043101E">
              <w:rPr>
                <w:rFonts w:ascii="Times New Roman" w:hAnsi="Times New Roman" w:cs="Times New Roman"/>
                <w:color w:val="000000"/>
                <w:sz w:val="24"/>
                <w:szCs w:val="24"/>
              </w:rPr>
              <w:t>.000</w:t>
            </w:r>
          </w:p>
        </w:tc>
        <w:tc>
          <w:tcPr>
            <w:tcW w:w="1276" w:type="dxa"/>
            <w:tcBorders>
              <w:top w:val="single" w:sz="8" w:space="0" w:color="000000"/>
              <w:left w:val="single" w:sz="8" w:space="0" w:color="000000"/>
              <w:bottom w:val="single" w:sz="8" w:space="0" w:color="000000"/>
              <w:right w:val="single" w:sz="4" w:space="0" w:color="auto"/>
            </w:tcBorders>
          </w:tcPr>
          <w:p w:rsidR="00A41DD9" w:rsidRPr="00A41DD9" w:rsidRDefault="00E6261B" w:rsidP="00E41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00A41DD9">
              <w:rPr>
                <w:rFonts w:ascii="Times New Roman" w:hAnsi="Times New Roman" w:cs="Times New Roman"/>
                <w:color w:val="000000"/>
                <w:sz w:val="24"/>
                <w:szCs w:val="24"/>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A41DD9"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30</w:t>
            </w:r>
            <w:r w:rsidR="00A41DD9">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8.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Центар за социјални рад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600</w:t>
            </w:r>
          </w:p>
        </w:tc>
        <w:tc>
          <w:tcPr>
            <w:tcW w:w="1276" w:type="dxa"/>
            <w:tcBorders>
              <w:top w:val="single" w:sz="8" w:space="0" w:color="000000"/>
              <w:left w:val="single" w:sz="8" w:space="0" w:color="000000"/>
              <w:bottom w:val="single" w:sz="8" w:space="0" w:color="000000"/>
              <w:right w:val="single" w:sz="4" w:space="0" w:color="auto"/>
            </w:tcBorders>
          </w:tcPr>
          <w:p w:rsidR="00A41DD9" w:rsidRPr="0043101E" w:rsidRDefault="00A41DD9" w:rsidP="00A41DD9">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43101E">
              <w:rPr>
                <w:rFonts w:ascii="Times New Roman" w:hAnsi="Times New Roman" w:cs="Times New Roman"/>
                <w:color w:val="000000"/>
                <w:sz w:val="24"/>
                <w:szCs w:val="24"/>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w:t>
            </w:r>
            <w:r>
              <w:rPr>
                <w:rFonts w:ascii="Times New Roman" w:hAnsi="Times New Roman" w:cs="Times New Roman"/>
                <w:color w:val="000000"/>
                <w:sz w:val="24"/>
                <w:szCs w:val="24"/>
              </w:rPr>
              <w:t>0</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9.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Месне заједнице</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100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Pr="0043101E">
              <w:rPr>
                <w:rFonts w:ascii="Times New Roman" w:hAnsi="Times New Roman" w:cs="Times New Roman"/>
                <w:color w:val="000000"/>
                <w:sz w:val="24"/>
                <w:szCs w:val="24"/>
              </w:rPr>
              <w:t>00</w:t>
            </w:r>
          </w:p>
        </w:tc>
        <w:tc>
          <w:tcPr>
            <w:tcW w:w="1418" w:type="dxa"/>
            <w:tcBorders>
              <w:top w:val="single" w:sz="4" w:space="0" w:color="auto"/>
              <w:bottom w:val="single" w:sz="4" w:space="0" w:color="auto"/>
              <w:right w:val="single" w:sz="4" w:space="0" w:color="auto"/>
            </w:tcBorders>
            <w:shd w:val="clear" w:color="auto" w:fill="auto"/>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5</w:t>
            </w:r>
            <w:r w:rsidRPr="0043101E">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10.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Библиотека „Милован Глишић“</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11.000</w:t>
            </w:r>
          </w:p>
        </w:tc>
        <w:tc>
          <w:tcPr>
            <w:tcW w:w="1276" w:type="dxa"/>
            <w:tcBorders>
              <w:top w:val="single" w:sz="8" w:space="0" w:color="000000"/>
              <w:left w:val="single" w:sz="8" w:space="0" w:color="000000"/>
              <w:bottom w:val="single" w:sz="8" w:space="0" w:color="000000"/>
              <w:right w:val="single" w:sz="8" w:space="0" w:color="000000"/>
            </w:tcBorders>
          </w:tcPr>
          <w:p w:rsidR="00A41DD9" w:rsidRPr="00A41DD9" w:rsidRDefault="00A41DD9" w:rsidP="00E4135E">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12.000</w:t>
            </w:r>
          </w:p>
        </w:tc>
        <w:tc>
          <w:tcPr>
            <w:tcW w:w="1418" w:type="dxa"/>
            <w:tcBorders>
              <w:top w:val="single" w:sz="4" w:space="0" w:color="auto"/>
              <w:bottom w:val="single" w:sz="4" w:space="0" w:color="auto"/>
              <w:right w:val="single" w:sz="4" w:space="0" w:color="auto"/>
            </w:tcBorders>
            <w:shd w:val="clear" w:color="auto" w:fill="auto"/>
          </w:tcPr>
          <w:p w:rsidR="00A41DD9" w:rsidRPr="00A41DD9"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r w:rsidR="00A41DD9">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Pr>
                <w:rFonts w:ascii="Times New Roman" w:hAnsi="Times New Roman" w:cs="Times New Roman"/>
                <w:color w:val="000000"/>
                <w:sz w:val="24"/>
                <w:szCs w:val="24"/>
              </w:rPr>
              <w:t>00</w:t>
            </w:r>
          </w:p>
        </w:tc>
      </w:tr>
      <w:tr w:rsidR="00A41DD9" w:rsidRPr="00374601" w:rsidTr="007D0190">
        <w:trPr>
          <w:trHeight w:val="157"/>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43101E">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11. </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 xml:space="preserve">Туристичка организација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11</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A41DD9" w:rsidP="00E4135E">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12.000</w:t>
            </w:r>
          </w:p>
        </w:tc>
        <w:tc>
          <w:tcPr>
            <w:tcW w:w="1418" w:type="dxa"/>
            <w:tcBorders>
              <w:top w:val="single" w:sz="4" w:space="0" w:color="auto"/>
              <w:bottom w:val="single" w:sz="4" w:space="0" w:color="auto"/>
              <w:right w:val="single" w:sz="4" w:space="0" w:color="auto"/>
            </w:tcBorders>
            <w:shd w:val="clear" w:color="auto" w:fill="auto"/>
          </w:tcPr>
          <w:p w:rsidR="00A41DD9" w:rsidRPr="0043101E" w:rsidRDefault="00E6261B" w:rsidP="00E6261B">
            <w:pPr>
              <w:autoSpaceDE w:val="0"/>
              <w:autoSpaceDN w:val="0"/>
              <w:adjustRightInd w:val="0"/>
              <w:jc w:val="right"/>
              <w:rPr>
                <w:rFonts w:ascii="Times New Roman" w:hAnsi="Times New Roman" w:cs="Times New Roman"/>
                <w:color w:val="000000"/>
                <w:sz w:val="24"/>
                <w:szCs w:val="24"/>
              </w:rPr>
            </w:pPr>
            <w:r>
              <w:rPr>
                <w:rFonts w:ascii="Times New Roman" w:hAnsi="Times New Roman" w:cs="Times New Roman"/>
                <w:color w:val="000000"/>
                <w:sz w:val="24"/>
                <w:szCs w:val="24"/>
              </w:rPr>
              <w:t>12</w:t>
            </w:r>
            <w:r w:rsidR="00A41DD9" w:rsidRPr="0043101E">
              <w:rPr>
                <w:rFonts w:ascii="Times New Roman" w:hAnsi="Times New Roman" w:cs="Times New Roman"/>
                <w:color w:val="000000"/>
                <w:sz w:val="24"/>
                <w:szCs w:val="24"/>
              </w:rPr>
              <w:t>.</w:t>
            </w:r>
            <w:r>
              <w:rPr>
                <w:rFonts w:ascii="Times New Roman" w:hAnsi="Times New Roman" w:cs="Times New Roman"/>
                <w:color w:val="000000"/>
                <w:sz w:val="24"/>
                <w:szCs w:val="24"/>
              </w:rPr>
              <w:t>0</w:t>
            </w:r>
            <w:r w:rsidR="00A41DD9" w:rsidRPr="0043101E">
              <w:rPr>
                <w:rFonts w:ascii="Times New Roman" w:hAnsi="Times New Roman" w:cs="Times New Roman"/>
                <w:color w:val="000000"/>
                <w:sz w:val="24"/>
                <w:szCs w:val="24"/>
              </w:rPr>
              <w:t>00</w:t>
            </w:r>
          </w:p>
        </w:tc>
      </w:tr>
      <w:tr w:rsidR="00A41DD9" w:rsidRPr="00374601" w:rsidTr="007D0190">
        <w:trPr>
          <w:trHeight w:val="178"/>
        </w:trPr>
        <w:tc>
          <w:tcPr>
            <w:tcW w:w="778" w:type="dxa"/>
            <w:tcBorders>
              <w:top w:val="single" w:sz="8" w:space="0" w:color="000000"/>
              <w:left w:val="single" w:sz="8" w:space="0" w:color="000000"/>
              <w:bottom w:val="single" w:sz="8" w:space="0" w:color="000000"/>
              <w:right w:val="single" w:sz="8" w:space="0" w:color="000000"/>
            </w:tcBorders>
          </w:tcPr>
          <w:p w:rsidR="00A41DD9" w:rsidRPr="0043101E" w:rsidRDefault="00A41DD9" w:rsidP="0043101E">
            <w:pPr>
              <w:autoSpaceDE w:val="0"/>
              <w:autoSpaceDN w:val="0"/>
              <w:adjustRightInd w:val="0"/>
              <w:jc w:val="center"/>
              <w:rPr>
                <w:rFonts w:ascii="Times New Roman" w:hAnsi="Times New Roman" w:cs="Times New Roman"/>
                <w:color w:val="000000"/>
                <w:sz w:val="24"/>
                <w:szCs w:val="24"/>
              </w:rPr>
            </w:pPr>
            <w:r w:rsidRPr="0043101E">
              <w:rPr>
                <w:rFonts w:ascii="Times New Roman" w:hAnsi="Times New Roman" w:cs="Times New Roman"/>
                <w:color w:val="000000"/>
                <w:sz w:val="24"/>
                <w:szCs w:val="24"/>
              </w:rPr>
              <w:t>12.</w:t>
            </w:r>
          </w:p>
        </w:tc>
        <w:tc>
          <w:tcPr>
            <w:tcW w:w="4575" w:type="dxa"/>
            <w:tcBorders>
              <w:top w:val="single" w:sz="8" w:space="0" w:color="000000"/>
              <w:left w:val="single" w:sz="8" w:space="0" w:color="000000"/>
              <w:bottom w:val="single" w:sz="8" w:space="0" w:color="000000"/>
              <w:right w:val="single" w:sz="8" w:space="0" w:color="000000"/>
            </w:tcBorders>
          </w:tcPr>
          <w:p w:rsidR="00A41DD9" w:rsidRPr="0043101E" w:rsidRDefault="00A41DD9" w:rsidP="00055070">
            <w:pPr>
              <w:autoSpaceDE w:val="0"/>
              <w:autoSpaceDN w:val="0"/>
              <w:adjustRightInd w:val="0"/>
              <w:rPr>
                <w:rFonts w:ascii="Times New Roman" w:hAnsi="Times New Roman" w:cs="Times New Roman"/>
                <w:color w:val="000000"/>
                <w:sz w:val="24"/>
                <w:szCs w:val="24"/>
              </w:rPr>
            </w:pPr>
            <w:r w:rsidRPr="0043101E">
              <w:rPr>
                <w:rFonts w:ascii="Times New Roman" w:hAnsi="Times New Roman" w:cs="Times New Roman"/>
                <w:color w:val="000000"/>
                <w:sz w:val="24"/>
                <w:szCs w:val="24"/>
              </w:rPr>
              <w:t>Правобранилаштво општине</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A41DD9" w:rsidP="00B4067A">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1.700</w:t>
            </w:r>
          </w:p>
        </w:tc>
        <w:tc>
          <w:tcPr>
            <w:tcW w:w="1276" w:type="dxa"/>
            <w:tcBorders>
              <w:top w:val="single" w:sz="8" w:space="0" w:color="000000"/>
              <w:left w:val="single" w:sz="8" w:space="0" w:color="000000"/>
              <w:bottom w:val="single" w:sz="8" w:space="0" w:color="000000"/>
              <w:right w:val="single" w:sz="8" w:space="0" w:color="000000"/>
            </w:tcBorders>
          </w:tcPr>
          <w:p w:rsidR="00A41DD9" w:rsidRPr="0043101E" w:rsidRDefault="00A41DD9" w:rsidP="00A162A7">
            <w:pPr>
              <w:autoSpaceDE w:val="0"/>
              <w:autoSpaceDN w:val="0"/>
              <w:adjustRightInd w:val="0"/>
              <w:jc w:val="right"/>
              <w:rPr>
                <w:rFonts w:ascii="Times New Roman" w:hAnsi="Times New Roman" w:cs="Times New Roman"/>
                <w:color w:val="000000"/>
                <w:sz w:val="24"/>
                <w:szCs w:val="24"/>
              </w:rPr>
            </w:pPr>
            <w:r w:rsidRPr="0043101E">
              <w:rPr>
                <w:rFonts w:ascii="Times New Roman" w:hAnsi="Times New Roman" w:cs="Times New Roman"/>
                <w:color w:val="000000"/>
                <w:sz w:val="24"/>
                <w:szCs w:val="24"/>
              </w:rPr>
              <w:t>2.000</w:t>
            </w:r>
          </w:p>
        </w:tc>
        <w:tc>
          <w:tcPr>
            <w:tcW w:w="1418" w:type="dxa"/>
            <w:tcBorders>
              <w:top w:val="single" w:sz="4" w:space="0" w:color="auto"/>
              <w:bottom w:val="single" w:sz="4" w:space="0" w:color="auto"/>
              <w:right w:val="single" w:sz="4" w:space="0" w:color="auto"/>
            </w:tcBorders>
            <w:shd w:val="clear" w:color="auto" w:fill="auto"/>
          </w:tcPr>
          <w:p w:rsidR="00A41DD9" w:rsidRPr="00B4067A" w:rsidRDefault="00B4067A" w:rsidP="00B4067A">
            <w:pPr>
              <w:jc w:val="right"/>
            </w:pPr>
            <w:r w:rsidRPr="0043101E">
              <w:rPr>
                <w:rFonts w:ascii="Times New Roman" w:hAnsi="Times New Roman" w:cs="Times New Roman"/>
                <w:color w:val="000000"/>
                <w:sz w:val="24"/>
                <w:szCs w:val="24"/>
              </w:rPr>
              <w:t>2.000</w:t>
            </w:r>
          </w:p>
        </w:tc>
      </w:tr>
      <w:tr w:rsidR="00A41DD9" w:rsidRPr="00374601" w:rsidTr="007D0190">
        <w:trPr>
          <w:trHeight w:val="159"/>
        </w:trPr>
        <w:tc>
          <w:tcPr>
            <w:tcW w:w="5353" w:type="dxa"/>
            <w:gridSpan w:val="2"/>
            <w:tcBorders>
              <w:top w:val="single" w:sz="8" w:space="0" w:color="000000"/>
              <w:left w:val="single" w:sz="8" w:space="0" w:color="000000"/>
              <w:bottom w:val="single" w:sz="8" w:space="0" w:color="000000"/>
              <w:right w:val="single" w:sz="8" w:space="0" w:color="000000"/>
            </w:tcBorders>
          </w:tcPr>
          <w:p w:rsidR="00A41DD9" w:rsidRPr="00374601" w:rsidRDefault="00A41DD9" w:rsidP="00A162A7">
            <w:pPr>
              <w:autoSpaceDE w:val="0"/>
              <w:autoSpaceDN w:val="0"/>
              <w:adjustRightInd w:val="0"/>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УКУПНО : </w:t>
            </w:r>
          </w:p>
        </w:tc>
        <w:tc>
          <w:tcPr>
            <w:tcW w:w="1559" w:type="dxa"/>
            <w:gridSpan w:val="3"/>
            <w:tcBorders>
              <w:top w:val="single" w:sz="8" w:space="0" w:color="000000"/>
              <w:left w:val="single" w:sz="8" w:space="0" w:color="000000"/>
              <w:bottom w:val="single" w:sz="8" w:space="0" w:color="000000"/>
              <w:right w:val="single" w:sz="8" w:space="0" w:color="000000"/>
            </w:tcBorders>
          </w:tcPr>
          <w:p w:rsidR="00A41DD9" w:rsidRPr="0043101E" w:rsidRDefault="00E6261B" w:rsidP="00205B07">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46</w:t>
            </w:r>
            <w:r w:rsidR="00A41DD9">
              <w:rPr>
                <w:rFonts w:ascii="Times New Roman" w:hAnsi="Times New Roman" w:cs="Times New Roman"/>
                <w:b/>
                <w:color w:val="000000"/>
                <w:sz w:val="24"/>
                <w:szCs w:val="24"/>
              </w:rPr>
              <w:t>5.000</w:t>
            </w:r>
          </w:p>
        </w:tc>
        <w:tc>
          <w:tcPr>
            <w:tcW w:w="1276" w:type="dxa"/>
            <w:tcBorders>
              <w:top w:val="single" w:sz="8" w:space="0" w:color="000000"/>
              <w:left w:val="single" w:sz="8" w:space="0" w:color="000000"/>
              <w:bottom w:val="single" w:sz="8" w:space="0" w:color="000000"/>
              <w:right w:val="single" w:sz="8" w:space="0" w:color="000000"/>
            </w:tcBorders>
          </w:tcPr>
          <w:p w:rsidR="00A41DD9" w:rsidRPr="00374601" w:rsidRDefault="00E6261B" w:rsidP="00A41DD9">
            <w:pPr>
              <w:autoSpaceDE w:val="0"/>
              <w:autoSpaceDN w:val="0"/>
              <w:adjustRightInd w:val="0"/>
              <w:jc w:val="right"/>
              <w:rPr>
                <w:rFonts w:ascii="Times New Roman" w:hAnsi="Times New Roman" w:cs="Times New Roman"/>
                <w:b/>
                <w:color w:val="000000"/>
                <w:sz w:val="24"/>
                <w:szCs w:val="24"/>
              </w:rPr>
            </w:pPr>
            <w:r>
              <w:rPr>
                <w:rFonts w:ascii="Times New Roman" w:hAnsi="Times New Roman" w:cs="Times New Roman"/>
                <w:b/>
                <w:color w:val="000000"/>
                <w:sz w:val="24"/>
                <w:szCs w:val="24"/>
              </w:rPr>
              <w:t>48</w:t>
            </w:r>
            <w:r w:rsidR="00A41DD9">
              <w:rPr>
                <w:rFonts w:ascii="Times New Roman" w:hAnsi="Times New Roman" w:cs="Times New Roman"/>
                <w:b/>
                <w:color w:val="000000"/>
                <w:sz w:val="24"/>
                <w:szCs w:val="24"/>
              </w:rPr>
              <w:t>5</w:t>
            </w:r>
            <w:r w:rsidR="00A41DD9" w:rsidRPr="00374601">
              <w:rPr>
                <w:rFonts w:ascii="Times New Roman" w:hAnsi="Times New Roman" w:cs="Times New Roman"/>
                <w:b/>
                <w:color w:val="000000"/>
                <w:sz w:val="24"/>
                <w:szCs w:val="24"/>
              </w:rPr>
              <w:t>.000</w:t>
            </w:r>
          </w:p>
        </w:tc>
        <w:tc>
          <w:tcPr>
            <w:tcW w:w="1418" w:type="dxa"/>
            <w:tcBorders>
              <w:top w:val="single" w:sz="4" w:space="0" w:color="auto"/>
              <w:bottom w:val="single" w:sz="4" w:space="0" w:color="auto"/>
              <w:right w:val="single" w:sz="4" w:space="0" w:color="auto"/>
            </w:tcBorders>
            <w:shd w:val="clear" w:color="auto" w:fill="auto"/>
          </w:tcPr>
          <w:p w:rsidR="00A41DD9" w:rsidRPr="00B4067A" w:rsidRDefault="00B4067A" w:rsidP="00B4067A">
            <w:pPr>
              <w:jc w:val="right"/>
              <w:rPr>
                <w:rFonts w:ascii="Times New Roman" w:hAnsi="Times New Roman" w:cs="Times New Roman"/>
                <w:b/>
              </w:rPr>
            </w:pPr>
            <w:r w:rsidRPr="00B4067A">
              <w:rPr>
                <w:rFonts w:ascii="Times New Roman" w:hAnsi="Times New Roman" w:cs="Times New Roman"/>
                <w:b/>
              </w:rPr>
              <w:t>485.000</w:t>
            </w:r>
          </w:p>
        </w:tc>
      </w:tr>
    </w:tbl>
    <w:p w:rsidR="00A162A7" w:rsidRPr="00374601" w:rsidRDefault="00A162A7" w:rsidP="00A162A7">
      <w:pPr>
        <w:autoSpaceDE w:val="0"/>
        <w:autoSpaceDN w:val="0"/>
        <w:adjustRightInd w:val="0"/>
        <w:jc w:val="center"/>
        <w:rPr>
          <w:rFonts w:ascii="Times New Roman" w:hAnsi="Times New Roman" w:cs="Times New Roman"/>
          <w:color w:val="000000"/>
          <w:sz w:val="24"/>
          <w:szCs w:val="24"/>
        </w:rPr>
      </w:pPr>
      <w:r w:rsidRPr="00374601">
        <w:rPr>
          <w:rFonts w:ascii="Times New Roman" w:hAnsi="Times New Roman" w:cs="Times New Roman"/>
          <w:b/>
          <w:bCs/>
          <w:color w:val="000000"/>
          <w:sz w:val="24"/>
          <w:szCs w:val="24"/>
        </w:rPr>
        <w:t xml:space="preserve">Поступак и динамика припреме буџета локалне власти и предлога финансијских планова корисника средстава буџета локалне власти </w:t>
      </w:r>
    </w:p>
    <w:p w:rsidR="00E51800" w:rsidRPr="00374601" w:rsidRDefault="00A162A7" w:rsidP="00E51800">
      <w:pPr>
        <w:autoSpaceDE w:val="0"/>
        <w:autoSpaceDN w:val="0"/>
        <w:adjustRightInd w:val="0"/>
        <w:ind w:firstLine="720"/>
        <w:jc w:val="both"/>
        <w:rPr>
          <w:rFonts w:ascii="Times New Roman" w:hAnsi="Times New Roman" w:cs="Times New Roman"/>
          <w:color w:val="000000"/>
          <w:sz w:val="24"/>
          <w:szCs w:val="24"/>
        </w:rPr>
      </w:pPr>
      <w:r w:rsidRPr="00374601">
        <w:rPr>
          <w:rFonts w:ascii="Times New Roman" w:hAnsi="Times New Roman" w:cs="Times New Roman"/>
          <w:color w:val="000000"/>
          <w:sz w:val="24"/>
          <w:szCs w:val="24"/>
        </w:rPr>
        <w:t>Предлог финан</w:t>
      </w:r>
      <w:r w:rsidR="007D0190">
        <w:rPr>
          <w:rFonts w:ascii="Times New Roman" w:hAnsi="Times New Roman" w:cs="Times New Roman"/>
          <w:color w:val="000000"/>
          <w:sz w:val="24"/>
          <w:szCs w:val="24"/>
        </w:rPr>
        <w:t>с</w:t>
      </w:r>
      <w:r w:rsidRPr="00374601">
        <w:rPr>
          <w:rFonts w:ascii="Times New Roman" w:hAnsi="Times New Roman" w:cs="Times New Roman"/>
          <w:color w:val="000000"/>
          <w:sz w:val="24"/>
          <w:szCs w:val="24"/>
        </w:rPr>
        <w:t>ијског плана за 201</w:t>
      </w:r>
      <w:r w:rsidR="002D79CA">
        <w:rPr>
          <w:rFonts w:ascii="Times New Roman" w:hAnsi="Times New Roman" w:cs="Times New Roman"/>
          <w:color w:val="000000"/>
          <w:sz w:val="24"/>
          <w:szCs w:val="24"/>
        </w:rPr>
        <w:t>8</w:t>
      </w:r>
      <w:r w:rsidRPr="00374601">
        <w:rPr>
          <w:rFonts w:ascii="Times New Roman" w:hAnsi="Times New Roman" w:cs="Times New Roman"/>
          <w:color w:val="000000"/>
          <w:sz w:val="24"/>
          <w:szCs w:val="24"/>
        </w:rPr>
        <w:t>. годину мора да представља процену финансијских потреба корисника буџетских средстава, као и извора средстава из којих ће се ове потребе финансирати.</w:t>
      </w:r>
    </w:p>
    <w:p w:rsidR="00A162A7" w:rsidRPr="00374601" w:rsidRDefault="00A162A7" w:rsidP="00E51800">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Корисници буџетских средстава израђују предлоге финансијских планова за буџетску годину са пројекцијама за наредне две фискалне године, без обзира да ли се капитални пројекти уговарају фазно по годинама или корисник преузима обавезе по уговору који захтева плаћање у више година. </w:t>
      </w:r>
    </w:p>
    <w:p w:rsidR="00274387" w:rsidRPr="00374601" w:rsidRDefault="007D0190" w:rsidP="00A162A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162A7" w:rsidRPr="00374601">
        <w:rPr>
          <w:rFonts w:ascii="Times New Roman" w:hAnsi="Times New Roman" w:cs="Times New Roman"/>
          <w:sz w:val="24"/>
          <w:szCs w:val="24"/>
        </w:rPr>
        <w:t xml:space="preserve">Посебно је важно да буџетски корисници у предлогу свог финансијског плана, осим буџетских, искажу и </w:t>
      </w:r>
      <w:r w:rsidR="00A162A7" w:rsidRPr="00374601">
        <w:rPr>
          <w:rFonts w:ascii="Times New Roman" w:hAnsi="Times New Roman" w:cs="Times New Roman"/>
          <w:b/>
          <w:bCs/>
          <w:sz w:val="24"/>
          <w:szCs w:val="24"/>
          <w:u w:val="single"/>
        </w:rPr>
        <w:t xml:space="preserve">друге изворе финансирања </w:t>
      </w:r>
      <w:r w:rsidR="00A162A7" w:rsidRPr="00374601">
        <w:rPr>
          <w:rFonts w:ascii="Times New Roman" w:hAnsi="Times New Roman" w:cs="Times New Roman"/>
          <w:sz w:val="24"/>
          <w:szCs w:val="24"/>
        </w:rPr>
        <w:t>( донације и сл.).</w:t>
      </w:r>
      <w:r w:rsidR="002D79CA">
        <w:rPr>
          <w:rFonts w:ascii="Times New Roman" w:hAnsi="Times New Roman" w:cs="Times New Roman"/>
          <w:sz w:val="24"/>
          <w:szCs w:val="24"/>
        </w:rPr>
        <w:t xml:space="preserve"> Буџетски корисници у 2018. години не исказују сопствене приходе, већ се наведени приходи уплаћују на прописане рачуне за уплату јавних прихода и то извор 01.</w:t>
      </w:r>
      <w:r w:rsidR="00A162A7" w:rsidRPr="00374601">
        <w:rPr>
          <w:rFonts w:ascii="Times New Roman" w:hAnsi="Times New Roman" w:cs="Times New Roman"/>
          <w:sz w:val="24"/>
          <w:szCs w:val="24"/>
        </w:rPr>
        <w:t xml:space="preserve"> </w:t>
      </w:r>
    </w:p>
    <w:p w:rsidR="00274387" w:rsidRPr="00374601" w:rsidRDefault="00274387" w:rsidP="00A162A7">
      <w:pPr>
        <w:autoSpaceDE w:val="0"/>
        <w:autoSpaceDN w:val="0"/>
        <w:adjustRightInd w:val="0"/>
        <w:jc w:val="both"/>
        <w:rPr>
          <w:rFonts w:ascii="Times New Roman" w:hAnsi="Times New Roman" w:cs="Times New Roman"/>
          <w:sz w:val="24"/>
          <w:szCs w:val="24"/>
        </w:rPr>
      </w:pPr>
    </w:p>
    <w:p w:rsidR="00274387" w:rsidRPr="00374601" w:rsidRDefault="00274387" w:rsidP="00A162A7">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b/>
          <w:sz w:val="24"/>
          <w:szCs w:val="24"/>
        </w:rPr>
        <w:t>Напомена:</w:t>
      </w:r>
      <w:r w:rsidRPr="00374601">
        <w:rPr>
          <w:rFonts w:ascii="Times New Roman" w:hAnsi="Times New Roman" w:cs="Times New Roman"/>
          <w:sz w:val="24"/>
          <w:szCs w:val="24"/>
        </w:rPr>
        <w:t xml:space="preserve"> Исказивање изв</w:t>
      </w:r>
      <w:r w:rsidR="00F248F3" w:rsidRPr="00374601">
        <w:rPr>
          <w:rFonts w:ascii="Times New Roman" w:hAnsi="Times New Roman" w:cs="Times New Roman"/>
          <w:sz w:val="24"/>
          <w:szCs w:val="24"/>
        </w:rPr>
        <w:t>ора финансирања 07- Приходи од Р</w:t>
      </w:r>
      <w:r w:rsidRPr="00374601">
        <w:rPr>
          <w:rFonts w:ascii="Times New Roman" w:hAnsi="Times New Roman" w:cs="Times New Roman"/>
          <w:sz w:val="24"/>
          <w:szCs w:val="24"/>
        </w:rPr>
        <w:t>епублике и 05-08 –Донације</w:t>
      </w:r>
      <w:r w:rsidR="00F248F3" w:rsidRPr="00374601">
        <w:rPr>
          <w:rFonts w:ascii="Times New Roman" w:hAnsi="Times New Roman" w:cs="Times New Roman"/>
          <w:sz w:val="24"/>
          <w:szCs w:val="24"/>
        </w:rPr>
        <w:t xml:space="preserve">, </w:t>
      </w:r>
      <w:r w:rsidRPr="00374601">
        <w:rPr>
          <w:rFonts w:ascii="Times New Roman" w:hAnsi="Times New Roman" w:cs="Times New Roman"/>
          <w:sz w:val="24"/>
          <w:szCs w:val="24"/>
        </w:rPr>
        <w:t xml:space="preserve"> могу се исказивати у финансијским плановима, само ако</w:t>
      </w:r>
      <w:r w:rsidR="007D0190">
        <w:rPr>
          <w:rFonts w:ascii="Times New Roman" w:hAnsi="Times New Roman" w:cs="Times New Roman"/>
          <w:sz w:val="24"/>
          <w:szCs w:val="24"/>
        </w:rPr>
        <w:t xml:space="preserve"> </w:t>
      </w:r>
      <w:r w:rsidRPr="00374601">
        <w:rPr>
          <w:rFonts w:ascii="Times New Roman" w:hAnsi="Times New Roman" w:cs="Times New Roman"/>
          <w:sz w:val="24"/>
          <w:szCs w:val="24"/>
        </w:rPr>
        <w:t>постоји закључен Уговор  или споразум да ће део или цео проје</w:t>
      </w:r>
      <w:r w:rsidR="00F248F3" w:rsidRPr="00374601">
        <w:rPr>
          <w:rFonts w:ascii="Times New Roman" w:hAnsi="Times New Roman" w:cs="Times New Roman"/>
          <w:sz w:val="24"/>
          <w:szCs w:val="24"/>
        </w:rPr>
        <w:t>кат</w:t>
      </w:r>
      <w:r w:rsidRPr="00374601">
        <w:rPr>
          <w:rFonts w:ascii="Times New Roman" w:hAnsi="Times New Roman" w:cs="Times New Roman"/>
          <w:sz w:val="24"/>
          <w:szCs w:val="24"/>
        </w:rPr>
        <w:t xml:space="preserve"> бити финансиран из других извора.</w:t>
      </w:r>
    </w:p>
    <w:p w:rsidR="00E51800" w:rsidRDefault="00E51800" w:rsidP="00A162A7">
      <w:pPr>
        <w:autoSpaceDE w:val="0"/>
        <w:autoSpaceDN w:val="0"/>
        <w:adjustRightInd w:val="0"/>
        <w:jc w:val="both"/>
        <w:rPr>
          <w:rFonts w:ascii="Times New Roman" w:hAnsi="Times New Roman" w:cs="Times New Roman"/>
          <w:sz w:val="24"/>
          <w:szCs w:val="24"/>
        </w:rPr>
      </w:pPr>
    </w:p>
    <w:p w:rsidR="00FB48DF" w:rsidRPr="00FB48DF" w:rsidRDefault="00FB48DF" w:rsidP="00A162A7">
      <w:pPr>
        <w:autoSpaceDE w:val="0"/>
        <w:autoSpaceDN w:val="0"/>
        <w:adjustRightInd w:val="0"/>
        <w:jc w:val="both"/>
        <w:rPr>
          <w:rFonts w:ascii="Times New Roman" w:hAnsi="Times New Roman" w:cs="Times New Roman"/>
          <w:sz w:val="24"/>
          <w:szCs w:val="24"/>
        </w:rPr>
      </w:pPr>
    </w:p>
    <w:p w:rsidR="00A162A7" w:rsidRPr="00374601" w:rsidRDefault="00A162A7" w:rsidP="00FB48DF">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lastRenderedPageBreak/>
        <w:t xml:space="preserve">Предлог финансијског плана </w:t>
      </w:r>
      <w:r w:rsidR="00953641">
        <w:rPr>
          <w:rFonts w:ascii="Times New Roman" w:hAnsi="Times New Roman" w:cs="Times New Roman"/>
          <w:b/>
          <w:bCs/>
          <w:sz w:val="24"/>
          <w:szCs w:val="24"/>
        </w:rPr>
        <w:t>састоји се од</w:t>
      </w:r>
      <w:r w:rsidRPr="00374601">
        <w:rPr>
          <w:rFonts w:ascii="Times New Roman" w:hAnsi="Times New Roman" w:cs="Times New Roman"/>
          <w:b/>
          <w:bCs/>
          <w:sz w:val="24"/>
          <w:szCs w:val="24"/>
        </w:rPr>
        <w:t xml:space="preserve">: </w:t>
      </w:r>
    </w:p>
    <w:p w:rsidR="00A162A7" w:rsidRDefault="00A162A7" w:rsidP="00A162A7">
      <w:pPr>
        <w:autoSpaceDE w:val="0"/>
        <w:autoSpaceDN w:val="0"/>
        <w:adjustRightInd w:val="0"/>
        <w:spacing w:after="120"/>
        <w:jc w:val="both"/>
        <w:rPr>
          <w:rFonts w:ascii="Times New Roman" w:hAnsi="Times New Roman" w:cs="Times New Roman"/>
          <w:sz w:val="24"/>
          <w:szCs w:val="24"/>
        </w:rPr>
      </w:pPr>
      <w:r w:rsidRPr="00374601">
        <w:rPr>
          <w:rFonts w:ascii="Times New Roman" w:hAnsi="Times New Roman" w:cs="Times New Roman"/>
          <w:sz w:val="24"/>
          <w:szCs w:val="24"/>
        </w:rPr>
        <w:t xml:space="preserve">1) </w:t>
      </w:r>
      <w:r w:rsidR="00953641">
        <w:rPr>
          <w:rFonts w:ascii="Times New Roman" w:hAnsi="Times New Roman" w:cs="Times New Roman"/>
          <w:sz w:val="24"/>
          <w:szCs w:val="24"/>
        </w:rPr>
        <w:t>Обрасци за програмски буџет</w:t>
      </w:r>
    </w:p>
    <w:p w:rsid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2) Прилог 1- Преглед броја запослених и средства за плате</w:t>
      </w:r>
    </w:p>
    <w:p w:rsid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3) Прилог 2 - Преглед капиталних пројеката</w:t>
      </w:r>
    </w:p>
    <w:p w:rsid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4) Прилог 3 - Комисије и уговори</w:t>
      </w:r>
    </w:p>
    <w:p w:rsid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5) Табела прихода и примања</w:t>
      </w:r>
    </w:p>
    <w:p w:rsidR="00953641" w:rsidRP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6) Табела расхода и издатака</w:t>
      </w:r>
    </w:p>
    <w:p w:rsidR="00A162A7" w:rsidRDefault="00953641" w:rsidP="00A162A7">
      <w:pPr>
        <w:autoSpaceDE w:val="0"/>
        <w:autoSpaceDN w:val="0"/>
        <w:adjustRightInd w:val="0"/>
        <w:spacing w:after="120"/>
        <w:jc w:val="both"/>
        <w:rPr>
          <w:rFonts w:ascii="Times New Roman" w:eastAsia="Times New Roman" w:hAnsi="Times New Roman" w:cs="Times New Roman"/>
          <w:sz w:val="24"/>
          <w:szCs w:val="24"/>
          <w:lang w:eastAsia="sr-Latn-CS"/>
        </w:rPr>
      </w:pPr>
      <w:r>
        <w:rPr>
          <w:rFonts w:ascii="Times New Roman" w:hAnsi="Times New Roman" w:cs="Times New Roman"/>
          <w:sz w:val="24"/>
          <w:szCs w:val="24"/>
        </w:rPr>
        <w:t>7</w:t>
      </w:r>
      <w:r w:rsidR="00A162A7" w:rsidRPr="00374601">
        <w:rPr>
          <w:rFonts w:ascii="Times New Roman" w:hAnsi="Times New Roman" w:cs="Times New Roman"/>
          <w:sz w:val="24"/>
          <w:szCs w:val="24"/>
        </w:rPr>
        <w:t>) Детаљно писано образложење расхода и издат</w:t>
      </w:r>
      <w:r w:rsidR="00E51800" w:rsidRPr="00374601">
        <w:rPr>
          <w:rFonts w:ascii="Times New Roman" w:hAnsi="Times New Roman" w:cs="Times New Roman"/>
          <w:sz w:val="24"/>
          <w:szCs w:val="24"/>
        </w:rPr>
        <w:t>ака, као и извора финансирања;</w:t>
      </w:r>
      <w:r w:rsidR="00881522" w:rsidRPr="00374601">
        <w:rPr>
          <w:rFonts w:ascii="Times New Roman" w:eastAsia="Times New Roman" w:hAnsi="Times New Roman" w:cs="Times New Roman"/>
          <w:sz w:val="24"/>
          <w:szCs w:val="24"/>
          <w:lang w:eastAsia="sr-Latn-CS"/>
        </w:rPr>
        <w:t>за све врсте трошкова и издатака (навести конкретно за шта ће се трошити средства, а не само називе конта)</w:t>
      </w:r>
    </w:p>
    <w:p w:rsidR="00953641" w:rsidRPr="00953641" w:rsidRDefault="00953641" w:rsidP="00A162A7">
      <w:pPr>
        <w:autoSpaceDE w:val="0"/>
        <w:autoSpaceDN w:val="0"/>
        <w:adjustRightInd w:val="0"/>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sr-Latn-CS"/>
        </w:rPr>
        <w:t>8) Образац извештаја о учинку</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Делови предлога финансијског плана састоје се из писаног објашњења, које обухвата и образложење, средњорочну квантификацију и процену ефеката нових политика и инвестиционих приоритета, на основу Упутства за припрему буџета и средњорочних планова корисника средстава буџета општине и финансијског захтева (члан 37. Закона о буџетском систему се сходно примењује и на јединице локалне самоуправе и њене кориснике у складу са чланом 41.). </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Чланом 112. Закона о буџетском систему предвиђено је да се од доношења одлука о буџету локалних власти за 2015. годину уводи програмски буџет. У том смислу постоји обавеза корисника буџета да </w:t>
      </w:r>
      <w:r w:rsidRPr="00374601">
        <w:rPr>
          <w:rFonts w:ascii="Times New Roman" w:hAnsi="Times New Roman" w:cs="Times New Roman"/>
          <w:b/>
          <w:bCs/>
          <w:sz w:val="24"/>
          <w:szCs w:val="24"/>
        </w:rPr>
        <w:t>предл</w:t>
      </w:r>
      <w:r w:rsidR="00297EB6" w:rsidRPr="00374601">
        <w:rPr>
          <w:rFonts w:ascii="Times New Roman" w:hAnsi="Times New Roman" w:cs="Times New Roman"/>
          <w:b/>
          <w:bCs/>
          <w:sz w:val="24"/>
          <w:szCs w:val="24"/>
        </w:rPr>
        <w:t>оге финансијских планова за 201</w:t>
      </w:r>
      <w:r w:rsidR="00953641">
        <w:rPr>
          <w:rFonts w:ascii="Times New Roman" w:hAnsi="Times New Roman" w:cs="Times New Roman"/>
          <w:b/>
          <w:bCs/>
          <w:sz w:val="24"/>
          <w:szCs w:val="24"/>
        </w:rPr>
        <w:t>8</w:t>
      </w:r>
      <w:r w:rsidRPr="00374601">
        <w:rPr>
          <w:rFonts w:ascii="Times New Roman" w:hAnsi="Times New Roman" w:cs="Times New Roman"/>
          <w:b/>
          <w:bCs/>
          <w:sz w:val="24"/>
          <w:szCs w:val="24"/>
        </w:rPr>
        <w:t xml:space="preserve">. годину припреме (као саставног дела програма пословања/рада) по програмском моделу. </w:t>
      </w:r>
    </w:p>
    <w:p w:rsidR="008A1FFC"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Упућујемо кориснике буџета Општине </w:t>
      </w:r>
      <w:r w:rsidR="00E51800" w:rsidRPr="00374601">
        <w:rPr>
          <w:rFonts w:ascii="Times New Roman" w:hAnsi="Times New Roman" w:cs="Times New Roman"/>
          <w:sz w:val="24"/>
          <w:szCs w:val="24"/>
        </w:rPr>
        <w:t xml:space="preserve">Љубовија </w:t>
      </w:r>
      <w:r w:rsidRPr="00374601">
        <w:rPr>
          <w:rFonts w:ascii="Times New Roman" w:hAnsi="Times New Roman" w:cs="Times New Roman"/>
          <w:sz w:val="24"/>
          <w:szCs w:val="24"/>
        </w:rPr>
        <w:t xml:space="preserve"> да се на интернет страници Министарства финансија </w:t>
      </w:r>
      <w:r w:rsidR="00E51800" w:rsidRPr="00374601">
        <w:rPr>
          <w:rFonts w:ascii="Times New Roman" w:hAnsi="Times New Roman" w:cs="Times New Roman"/>
          <w:sz w:val="24"/>
          <w:szCs w:val="24"/>
        </w:rPr>
        <w:t xml:space="preserve">и општине Љубовија </w:t>
      </w:r>
      <w:r w:rsidRPr="00374601">
        <w:rPr>
          <w:rFonts w:ascii="Times New Roman" w:hAnsi="Times New Roman" w:cs="Times New Roman"/>
          <w:sz w:val="24"/>
          <w:szCs w:val="24"/>
        </w:rPr>
        <w:t>налази Упутство за израду програмског буџета које је потребно користити за припрему предлога финансијских планова за 201</w:t>
      </w:r>
      <w:r w:rsidR="00953641">
        <w:rPr>
          <w:rFonts w:ascii="Times New Roman" w:hAnsi="Times New Roman" w:cs="Times New Roman"/>
          <w:sz w:val="24"/>
          <w:szCs w:val="24"/>
        </w:rPr>
        <w:t>8</w:t>
      </w:r>
      <w:r w:rsidRPr="00374601">
        <w:rPr>
          <w:rFonts w:ascii="Times New Roman" w:hAnsi="Times New Roman" w:cs="Times New Roman"/>
          <w:sz w:val="24"/>
          <w:szCs w:val="24"/>
        </w:rPr>
        <w:t>.годину и две наредне године. Нарочито је потребно обратити пажњу на шифарник програма, програмских активности и пројеката који су дати у прилогу тог упутства.</w:t>
      </w:r>
    </w:p>
    <w:p w:rsidR="002A58C7" w:rsidRPr="00374601" w:rsidRDefault="008A1FFC" w:rsidP="008A1FFC">
      <w:pPr>
        <w:autoSpaceDE w:val="0"/>
        <w:autoSpaceDN w:val="0"/>
        <w:adjustRightInd w:val="0"/>
        <w:jc w:val="both"/>
        <w:rPr>
          <w:rFonts w:ascii="Times New Roman" w:hAnsi="Times New Roman" w:cs="Times New Roman"/>
          <w:sz w:val="24"/>
          <w:szCs w:val="24"/>
        </w:rPr>
      </w:pPr>
      <w:r>
        <w:rPr>
          <w:rFonts w:ascii="TimesNewRomanPS-BoldMT" w:hAnsi="TimesNewRomanPS-BoldMT" w:cs="TimesNewRomanPS-BoldMT"/>
          <w:b/>
          <w:bCs/>
          <w:sz w:val="24"/>
          <w:szCs w:val="24"/>
        </w:rPr>
        <w:t xml:space="preserve">           Сви буџетски корисници су у обавези да се придржавају утврђених лимита приликом израде предлога финансијских планова</w:t>
      </w:r>
      <w:r>
        <w:rPr>
          <w:rFonts w:ascii="TimesNewRomanPSMT" w:hAnsi="TimesNewRomanPSMT" w:cs="TimesNewRomanPSMT"/>
          <w:sz w:val="24"/>
          <w:szCs w:val="24"/>
        </w:rPr>
        <w:t>. Уколико одређени лимит није довољан за реализацију планираних програма и активности у 2018. години, буџетски корисник подноси Захтев за додатна средства, са детаљним образложењем и извором финансирања из кога ће се финансирати додатне активности.</w:t>
      </w:r>
      <w:r w:rsidR="00A162A7" w:rsidRPr="00374601">
        <w:rPr>
          <w:rFonts w:ascii="Times New Roman" w:hAnsi="Times New Roman" w:cs="Times New Roman"/>
          <w:sz w:val="24"/>
          <w:szCs w:val="24"/>
        </w:rPr>
        <w:t xml:space="preserve"> </w:t>
      </w:r>
    </w:p>
    <w:p w:rsidR="004406B6" w:rsidRPr="00374601" w:rsidRDefault="001054F6" w:rsidP="004406B6">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rPr>
        <w:t>З</w:t>
      </w:r>
      <w:r w:rsidR="00A162A7" w:rsidRPr="00374601">
        <w:rPr>
          <w:rFonts w:ascii="Times New Roman" w:hAnsi="Times New Roman" w:cs="Times New Roman"/>
          <w:b/>
          <w:bCs/>
          <w:sz w:val="24"/>
          <w:szCs w:val="24"/>
        </w:rPr>
        <w:t>ахтев за додатна средства</w:t>
      </w:r>
      <w:r w:rsidR="0041016B" w:rsidRPr="00374601">
        <w:rPr>
          <w:rFonts w:ascii="Times New Roman" w:hAnsi="Times New Roman" w:cs="Times New Roman"/>
          <w:sz w:val="24"/>
          <w:szCs w:val="24"/>
        </w:rPr>
        <w:t>-</w:t>
      </w:r>
      <w:r w:rsidR="00A162A7" w:rsidRPr="00374601">
        <w:rPr>
          <w:rFonts w:ascii="Times New Roman" w:hAnsi="Times New Roman" w:cs="Times New Roman"/>
          <w:sz w:val="24"/>
          <w:szCs w:val="24"/>
        </w:rPr>
        <w:t xml:space="preserve"> активности које не могу бити усклађене са ограничењем средстава за текуће издатке, са предлогом приоритета, које треба размотрити у поступку доношења буџета</w:t>
      </w:r>
      <w:r w:rsidRPr="00374601">
        <w:rPr>
          <w:rFonts w:ascii="Times New Roman" w:hAnsi="Times New Roman" w:cs="Times New Roman"/>
          <w:sz w:val="24"/>
          <w:szCs w:val="24"/>
        </w:rPr>
        <w:t xml:space="preserve"> потребно је урадити на обрасцима за Програмски буџет (сваки захтев посебно по приоритету)</w:t>
      </w:r>
      <w:r w:rsidR="004406B6" w:rsidRPr="004406B6">
        <w:rPr>
          <w:rFonts w:ascii="Times New Roman" w:hAnsi="Times New Roman" w:cs="Times New Roman"/>
          <w:b/>
          <w:bCs/>
          <w:sz w:val="24"/>
          <w:szCs w:val="24"/>
        </w:rPr>
        <w:t xml:space="preserve"> </w:t>
      </w:r>
      <w:r w:rsidR="004406B6">
        <w:rPr>
          <w:rFonts w:ascii="Times New Roman" w:hAnsi="Times New Roman" w:cs="Times New Roman"/>
          <w:b/>
          <w:bCs/>
          <w:sz w:val="24"/>
          <w:szCs w:val="24"/>
        </w:rPr>
        <w:t>. З</w:t>
      </w:r>
      <w:r w:rsidR="004406B6" w:rsidRPr="00374601">
        <w:rPr>
          <w:rFonts w:ascii="Times New Roman" w:hAnsi="Times New Roman" w:cs="Times New Roman"/>
          <w:b/>
          <w:bCs/>
          <w:sz w:val="24"/>
          <w:szCs w:val="24"/>
        </w:rPr>
        <w:t xml:space="preserve">ахтев за додатна средства </w:t>
      </w:r>
      <w:r w:rsidR="004406B6" w:rsidRPr="00374601">
        <w:rPr>
          <w:rFonts w:ascii="Times New Roman" w:hAnsi="Times New Roman" w:cs="Times New Roman"/>
          <w:sz w:val="24"/>
          <w:szCs w:val="24"/>
        </w:rPr>
        <w:t>пружа кориснику буџетских средстава могућност да евентуално тражи средства за финансирање активности и услуга, које по процени корисника буџетских средстава представљају приоритетне области које треба узети у обзир у планирању буџета за 201</w:t>
      </w:r>
      <w:r w:rsidR="004406B6">
        <w:rPr>
          <w:rFonts w:ascii="Times New Roman" w:hAnsi="Times New Roman" w:cs="Times New Roman"/>
          <w:sz w:val="24"/>
          <w:szCs w:val="24"/>
        </w:rPr>
        <w:t>8</w:t>
      </w:r>
      <w:r w:rsidR="004406B6" w:rsidRPr="00374601">
        <w:rPr>
          <w:rFonts w:ascii="Times New Roman" w:hAnsi="Times New Roman" w:cs="Times New Roman"/>
          <w:sz w:val="24"/>
          <w:szCs w:val="24"/>
        </w:rPr>
        <w:t xml:space="preserve">. годину, а за које није утврђен обим средстава у довољном износу или није уопште утврђен. </w:t>
      </w:r>
    </w:p>
    <w:p w:rsidR="00953641" w:rsidRDefault="004406B6"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Корисник може поднети више од једног захтева за додатно финансирање. За сваки захтев за додатна средства </w:t>
      </w:r>
      <w:r w:rsidRPr="00374601">
        <w:rPr>
          <w:rFonts w:ascii="Times New Roman" w:hAnsi="Times New Roman" w:cs="Times New Roman"/>
          <w:b/>
          <w:bCs/>
          <w:sz w:val="24"/>
          <w:szCs w:val="24"/>
        </w:rPr>
        <w:t xml:space="preserve">треба доставити појединачно детаљно писано образложење. </w:t>
      </w:r>
      <w:r w:rsidRPr="00374601">
        <w:rPr>
          <w:rFonts w:ascii="Times New Roman" w:hAnsi="Times New Roman" w:cs="Times New Roman"/>
          <w:sz w:val="24"/>
          <w:szCs w:val="24"/>
        </w:rPr>
        <w:t>Сваки од захтева мора бити означен бројем који представља приоритете тог захтева (нпр. захтев број 1 требало би да означава највиши приоритет корисника буџетских средстава).</w:t>
      </w:r>
    </w:p>
    <w:p w:rsidR="00FB48DF" w:rsidRPr="00FB48DF" w:rsidRDefault="00FB48DF" w:rsidP="00A162A7">
      <w:pPr>
        <w:autoSpaceDE w:val="0"/>
        <w:autoSpaceDN w:val="0"/>
        <w:adjustRightInd w:val="0"/>
        <w:ind w:firstLine="720"/>
        <w:jc w:val="both"/>
        <w:rPr>
          <w:rFonts w:ascii="Times New Roman" w:hAnsi="Times New Roman" w:cs="Times New Roman"/>
          <w:sz w:val="24"/>
          <w:szCs w:val="24"/>
        </w:rPr>
      </w:pPr>
    </w:p>
    <w:p w:rsidR="00A162A7" w:rsidRPr="00374601" w:rsidRDefault="00A162A7" w:rsidP="00A162A7">
      <w:pPr>
        <w:autoSpaceDE w:val="0"/>
        <w:autoSpaceDN w:val="0"/>
        <w:adjustRightInd w:val="0"/>
        <w:rPr>
          <w:rFonts w:ascii="Times New Roman" w:hAnsi="Times New Roman" w:cs="Times New Roman"/>
          <w:sz w:val="24"/>
          <w:szCs w:val="24"/>
        </w:rPr>
      </w:pPr>
    </w:p>
    <w:p w:rsidR="00A162A7" w:rsidRPr="00374601" w:rsidRDefault="00A33AE4"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b/>
          <w:bCs/>
          <w:sz w:val="24"/>
          <w:szCs w:val="24"/>
        </w:rPr>
        <w:lastRenderedPageBreak/>
        <w:t>Ср</w:t>
      </w:r>
      <w:r w:rsidR="00A162A7" w:rsidRPr="00374601">
        <w:rPr>
          <w:rFonts w:ascii="Times New Roman" w:hAnsi="Times New Roman" w:cs="Times New Roman"/>
          <w:b/>
          <w:bCs/>
          <w:sz w:val="24"/>
          <w:szCs w:val="24"/>
        </w:rPr>
        <w:t xml:space="preserve">едства за плате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Народна скупштина је донела Закон о привременом уређивању основица за обрачун и исплату плата, односно зарада и других сталних примања код корисника јавних средстава који је објављен у „Службеном гласнику РС“, број 116/14 од 27. октобра 2014. године. </w:t>
      </w:r>
    </w:p>
    <w:p w:rsidR="00A162A7" w:rsidRPr="00374601" w:rsidRDefault="00A162A7" w:rsidP="00A162A7">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У складу са чланом 5. став 1. Закона, основица за обрачун и исплату плата код корисника јавних средстава, утврђена законом, другим прописом или другим општим или појединачним актом, који је у примени на дан доношења овог закона, умањена је за 10%. </w:t>
      </w:r>
    </w:p>
    <w:p w:rsidR="001054F6" w:rsidRDefault="00A162A7" w:rsidP="001054F6">
      <w:pPr>
        <w:autoSpaceDE w:val="0"/>
        <w:autoSpaceDN w:val="0"/>
        <w:adjustRightInd w:val="0"/>
        <w:ind w:firstLine="680"/>
        <w:jc w:val="both"/>
        <w:rPr>
          <w:rFonts w:ascii="Times New Roman" w:hAnsi="Times New Roman" w:cs="Times New Roman"/>
          <w:sz w:val="24"/>
          <w:szCs w:val="24"/>
        </w:rPr>
      </w:pPr>
      <w:r w:rsidRPr="00374601">
        <w:rPr>
          <w:rFonts w:ascii="Times New Roman" w:hAnsi="Times New Roman" w:cs="Times New Roman"/>
          <w:sz w:val="24"/>
          <w:szCs w:val="24"/>
        </w:rPr>
        <w:t xml:space="preserve">Ништаве су одредбе општег или појединачног акта (осим појединачног акта којим се плата повећава по основу напредовања) којима се повећавају основице, коефицијенти и други елементи, односно уводе нови елементи, на основу којих се повећава износ плата и другог сталног примања код субјеката из члана 2. овог закона, донет за време примене овог закона (члан 4. Закона). </w:t>
      </w:r>
    </w:p>
    <w:p w:rsidR="004406B6" w:rsidRDefault="00936BDF"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 xml:space="preserve">Износ средстава потребних за исплату плата планира се на основу постојећег </w:t>
      </w:r>
      <w:r w:rsidR="004406B6" w:rsidRPr="004406B6">
        <w:rPr>
          <w:rFonts w:ascii="TimesNewRomanPSMT" w:hAnsi="TimesNewRomanPSMT" w:cs="TimesNewRomanPSMT"/>
          <w:b/>
          <w:sz w:val="24"/>
          <w:szCs w:val="24"/>
        </w:rPr>
        <w:t>(дозвољеног)</w:t>
      </w:r>
      <w:r w:rsidR="004406B6">
        <w:rPr>
          <w:rFonts w:ascii="TimesNewRomanPSMT" w:hAnsi="TimesNewRomanPSMT" w:cs="TimesNewRomanPSMT"/>
          <w:sz w:val="24"/>
          <w:szCs w:val="24"/>
        </w:rPr>
        <w:t xml:space="preserve"> броја извршилаца, </w:t>
      </w:r>
      <w:r w:rsidR="004406B6" w:rsidRPr="004406B6">
        <w:rPr>
          <w:rFonts w:ascii="TimesNewRomanPS-BoldMT" w:hAnsi="TimesNewRomanPS-BoldMT" w:cs="TimesNewRomanPS-BoldMT"/>
          <w:bCs/>
          <w:sz w:val="24"/>
          <w:szCs w:val="24"/>
        </w:rPr>
        <w:t>према утврђеним коефицијентима и важећој основици за обрачун плате без планираног увећања 2018. године</w:t>
      </w:r>
      <w:r w:rsidR="004406B6">
        <w:rPr>
          <w:rFonts w:ascii="TimesNewRomanPSMT" w:hAnsi="TimesNewRomanPSMT" w:cs="TimesNewRomanPSMT"/>
          <w:sz w:val="24"/>
          <w:szCs w:val="24"/>
        </w:rPr>
        <w:t xml:space="preserve">. </w:t>
      </w:r>
    </w:p>
    <w:p w:rsidR="004406B6" w:rsidRDefault="00936BDF"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Уколико је број извршилаца већи у односу на 2017. годину, потребно је доставити Закључке комисије за давање сагласности за пријем у радни однос за тај број извршилаца, у супротном за наведене извршиоце не може бити планирана маса средстава.</w:t>
      </w:r>
    </w:p>
    <w:p w:rsidR="004406B6" w:rsidRDefault="00936BDF" w:rsidP="004406B6">
      <w:pPr>
        <w:autoSpaceDE w:val="0"/>
        <w:autoSpaceDN w:val="0"/>
        <w:adjustRightInd w:val="0"/>
        <w:jc w:val="both"/>
        <w:rPr>
          <w:rFonts w:ascii="Times New Roman" w:hAnsi="Times New Roman" w:cs="Times New Roman"/>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Уколико у Упутству Министарства финансија буду предвиђене промене нивоа зарада у 201</w:t>
      </w:r>
      <w:r w:rsidR="004406B6">
        <w:rPr>
          <w:rFonts w:ascii="Times New Roman" w:hAnsi="Times New Roman" w:cs="Times New Roman"/>
          <w:sz w:val="24"/>
          <w:szCs w:val="24"/>
        </w:rPr>
        <w:t xml:space="preserve">8. </w:t>
      </w:r>
      <w:r w:rsidR="004406B6">
        <w:rPr>
          <w:rFonts w:ascii="TimesNewRomanPSMT" w:hAnsi="TimesNewRomanPSMT" w:cs="TimesNewRomanPSMT"/>
          <w:sz w:val="24"/>
          <w:szCs w:val="24"/>
        </w:rPr>
        <w:t>години, надлежни орган за финансије, благовремено ће обавестити све кориснике буџетских средстава о потребном усклађивању.</w:t>
      </w:r>
      <w:r>
        <w:rPr>
          <w:rFonts w:ascii="TimesNewRomanPSMT" w:hAnsi="TimesNewRomanPSMT" w:cs="TimesNewRomanPSMT"/>
          <w:sz w:val="24"/>
          <w:szCs w:val="24"/>
        </w:rPr>
        <w:t xml:space="preserve">         </w:t>
      </w:r>
    </w:p>
    <w:p w:rsidR="004406B6" w:rsidRDefault="007D0190" w:rsidP="004406B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4406B6">
        <w:rPr>
          <w:rFonts w:ascii="TimesNewRomanPSMT" w:hAnsi="TimesNewRomanPSMT" w:cs="TimesNewRomanPSMT"/>
          <w:sz w:val="24"/>
          <w:szCs w:val="24"/>
        </w:rPr>
        <w:t>У оквиру осталих расхода са групе конта 41 не могу се планирати исплате награда и</w:t>
      </w:r>
      <w:r>
        <w:rPr>
          <w:rFonts w:ascii="TimesNewRomanPSMT" w:hAnsi="TimesNewRomanPSMT" w:cs="TimesNewRomanPSMT"/>
          <w:sz w:val="24"/>
          <w:szCs w:val="24"/>
        </w:rPr>
        <w:t xml:space="preserve"> </w:t>
      </w:r>
      <w:r w:rsidR="004406B6">
        <w:rPr>
          <w:rFonts w:ascii="TimesNewRomanPSMT" w:hAnsi="TimesNewRomanPSMT" w:cs="TimesNewRomanPSMT"/>
          <w:sz w:val="24"/>
          <w:szCs w:val="24"/>
        </w:rPr>
        <w:t>бонуса предвиђених посебним и појединачним колективним уговорима, осим јубиларних награда за запослене који ће то право остварити у 2018. години, као ни награде и бонусе који према међународним критеријумима представљају нестандардне, односно нетранспарентне облике награда и бонуса.</w:t>
      </w:r>
    </w:p>
    <w:p w:rsidR="004406B6" w:rsidRDefault="007D0190" w:rsidP="00936BDF">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936BDF">
        <w:rPr>
          <w:rFonts w:ascii="TimesNewRomanPSMT" w:hAnsi="TimesNewRomanPSMT" w:cs="TimesNewRomanPSMT"/>
          <w:sz w:val="24"/>
          <w:szCs w:val="24"/>
        </w:rPr>
        <w:t>Износ средстава за јубиларне награде (416) се мора прецизно и одговорно планирати код свих буџетских корисника. Потребно је да сваки буџетски корисник, у  образложењу наведе списак запослених који ће у 201</w:t>
      </w:r>
      <w:r w:rsidR="00936BDF">
        <w:rPr>
          <w:rFonts w:ascii="Times New Roman" w:hAnsi="Times New Roman" w:cs="Times New Roman"/>
          <w:sz w:val="24"/>
          <w:szCs w:val="24"/>
        </w:rPr>
        <w:t>8</w:t>
      </w:r>
      <w:r w:rsidR="00936BDF">
        <w:rPr>
          <w:rFonts w:ascii="TimesNewRomanPSMT" w:hAnsi="TimesNewRomanPSMT" w:cs="TimesNewRomanPSMT"/>
          <w:sz w:val="24"/>
          <w:szCs w:val="24"/>
        </w:rPr>
        <w:t>. остварити право на јубиларну награду као и потребне износе у складу са важећим колективним уговором.</w:t>
      </w:r>
    </w:p>
    <w:p w:rsidR="00FB48DF" w:rsidRPr="00FB48DF" w:rsidRDefault="00936BDF" w:rsidP="00936BDF">
      <w:pPr>
        <w:autoSpaceDE w:val="0"/>
        <w:autoSpaceDN w:val="0"/>
        <w:adjustRightInd w:val="0"/>
        <w:jc w:val="both"/>
        <w:rPr>
          <w:rFonts w:ascii="Times New Roman" w:hAnsi="Times New Roman" w:cs="Times New Roman"/>
          <w:sz w:val="24"/>
          <w:szCs w:val="24"/>
        </w:rPr>
      </w:pPr>
      <w:r>
        <w:rPr>
          <w:rFonts w:ascii="TimesNewRomanPS-BoldMT" w:hAnsi="TimesNewRomanPS-BoldMT" w:cs="TimesNewRomanPS-BoldMT"/>
          <w:b/>
          <w:bCs/>
          <w:sz w:val="24"/>
          <w:szCs w:val="24"/>
        </w:rPr>
        <w:t>У току 2018. године неће се одобравати пренамене са  групе  конта 41;</w:t>
      </w:r>
    </w:p>
    <w:p w:rsidR="006931CC" w:rsidRPr="00374601" w:rsidRDefault="006931CC" w:rsidP="006931CC">
      <w:pPr>
        <w:autoSpaceDE w:val="0"/>
        <w:autoSpaceDN w:val="0"/>
        <w:adjustRightInd w:val="0"/>
        <w:ind w:firstLine="680"/>
        <w:jc w:val="both"/>
        <w:rPr>
          <w:rFonts w:ascii="Times New Roman" w:hAnsi="Times New Roman" w:cs="Times New Roman"/>
          <w:sz w:val="24"/>
          <w:szCs w:val="24"/>
        </w:rPr>
      </w:pPr>
    </w:p>
    <w:p w:rsidR="006931CC" w:rsidRPr="00374601" w:rsidRDefault="006931CC" w:rsidP="008A1FFC">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b/>
          <w:sz w:val="24"/>
          <w:szCs w:val="24"/>
          <w:lang w:val="sr-Cyrl-CS"/>
        </w:rPr>
        <w:t xml:space="preserve">           Планирање осталих расхода на економским класификацијама 42, 45, 48</w:t>
      </w:r>
    </w:p>
    <w:p w:rsidR="006931CC" w:rsidRPr="00374601" w:rsidRDefault="007D0190" w:rsidP="004406B6">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lang w:val="sr-Cyrl-CS"/>
        </w:rPr>
        <w:t>Коришћење усл</w:t>
      </w:r>
      <w:r w:rsidR="006931CC" w:rsidRPr="00374601">
        <w:rPr>
          <w:rFonts w:ascii="Times New Roman" w:hAnsi="Times New Roman" w:cs="Times New Roman"/>
          <w:sz w:val="24"/>
          <w:szCs w:val="24"/>
          <w:lang w:val="sr-Cyrl-CS"/>
        </w:rPr>
        <w:t xml:space="preserve">уга и роба (група котна </w:t>
      </w:r>
      <w:r w:rsidR="006931CC" w:rsidRPr="00374601">
        <w:rPr>
          <w:rFonts w:ascii="Times New Roman" w:hAnsi="Times New Roman" w:cs="Times New Roman"/>
          <w:b/>
          <w:sz w:val="24"/>
          <w:szCs w:val="24"/>
          <w:lang w:val="sr-Cyrl-CS"/>
        </w:rPr>
        <w:t>42</w:t>
      </w:r>
      <w:r w:rsidR="006931CC" w:rsidRPr="00374601">
        <w:rPr>
          <w:rFonts w:ascii="Times New Roman" w:hAnsi="Times New Roman" w:cs="Times New Roman"/>
          <w:sz w:val="24"/>
          <w:szCs w:val="24"/>
          <w:lang w:val="sr-Cyrl-CS"/>
        </w:rPr>
        <w:t>)</w:t>
      </w:r>
      <w:r w:rsidR="006931CC" w:rsidRPr="00374601">
        <w:rPr>
          <w:rFonts w:ascii="Times New Roman" w:hAnsi="Times New Roman" w:cs="Times New Roman"/>
          <w:sz w:val="24"/>
          <w:szCs w:val="24"/>
        </w:rPr>
        <w:t xml:space="preserve"> планирају се највише до износа који је опредељен буџетом за 201</w:t>
      </w:r>
      <w:r w:rsidR="00953641">
        <w:rPr>
          <w:rFonts w:ascii="Times New Roman" w:hAnsi="Times New Roman" w:cs="Times New Roman"/>
          <w:sz w:val="24"/>
          <w:szCs w:val="24"/>
        </w:rPr>
        <w:t>7</w:t>
      </w:r>
      <w:r w:rsidR="006931CC" w:rsidRPr="00374601">
        <w:rPr>
          <w:rFonts w:ascii="Times New Roman" w:hAnsi="Times New Roman" w:cs="Times New Roman"/>
          <w:sz w:val="24"/>
          <w:szCs w:val="24"/>
        </w:rPr>
        <w:t>. годину, с</w:t>
      </w:r>
      <w:r w:rsidR="00953641">
        <w:rPr>
          <w:rFonts w:ascii="Times New Roman" w:hAnsi="Times New Roman" w:cs="Times New Roman"/>
          <w:sz w:val="24"/>
          <w:szCs w:val="24"/>
        </w:rPr>
        <w:t xml:space="preserve"> </w:t>
      </w:r>
      <w:r w:rsidR="006931CC" w:rsidRPr="00374601">
        <w:rPr>
          <w:rFonts w:ascii="Times New Roman" w:hAnsi="Times New Roman" w:cs="Times New Roman"/>
          <w:sz w:val="24"/>
          <w:szCs w:val="24"/>
        </w:rPr>
        <w:t>тим да</w:t>
      </w:r>
      <w:r w:rsidR="00953641">
        <w:rPr>
          <w:rFonts w:ascii="Times New Roman" w:hAnsi="Times New Roman" w:cs="Times New Roman"/>
          <w:sz w:val="24"/>
          <w:szCs w:val="24"/>
        </w:rPr>
        <w:t xml:space="preserve"> </w:t>
      </w:r>
      <w:r w:rsidR="006931CC" w:rsidRPr="00374601">
        <w:rPr>
          <w:rFonts w:ascii="Times New Roman" w:hAnsi="Times New Roman" w:cs="Times New Roman"/>
          <w:sz w:val="24"/>
          <w:szCs w:val="24"/>
        </w:rPr>
        <w:t xml:space="preserve">је потребно </w:t>
      </w:r>
      <w:r w:rsidR="006931CC" w:rsidRPr="00374601">
        <w:rPr>
          <w:rFonts w:ascii="Times New Roman" w:hAnsi="Times New Roman" w:cs="Times New Roman"/>
          <w:sz w:val="24"/>
          <w:szCs w:val="24"/>
          <w:lang w:val="sr-Cyrl-CS"/>
        </w:rPr>
        <w:t xml:space="preserve">сагледати могућност максималне уштеде, пре свега, у оквиру економских класификација 422 – Трошкови путовања, 423 – Услуге по уговору и 424 – Специјализоване услуге, а настојати да се не угрози извршавање сталних трошкова (421 – Стални трошкови). </w:t>
      </w:r>
      <w:r w:rsidR="004406B6">
        <w:rPr>
          <w:rFonts w:ascii="Times New Roman" w:hAnsi="Times New Roman" w:cs="Times New Roman"/>
          <w:sz w:val="24"/>
          <w:szCs w:val="24"/>
          <w:lang w:val="sr-Cyrl-CS"/>
        </w:rPr>
        <w:t>С</w:t>
      </w:r>
      <w:r w:rsidR="006931CC" w:rsidRPr="00374601">
        <w:rPr>
          <w:rFonts w:ascii="Times New Roman" w:hAnsi="Times New Roman" w:cs="Times New Roman"/>
          <w:sz w:val="24"/>
          <w:szCs w:val="24"/>
        </w:rPr>
        <w:t xml:space="preserve">редства за </w:t>
      </w:r>
      <w:r w:rsidR="006931CC" w:rsidRPr="00374601">
        <w:rPr>
          <w:rFonts w:ascii="Times New Roman" w:hAnsi="Times New Roman" w:cs="Times New Roman"/>
          <w:bCs/>
          <w:sz w:val="24"/>
          <w:szCs w:val="24"/>
        </w:rPr>
        <w:t xml:space="preserve">сталне трошкове (економска класификација 421) </w:t>
      </w:r>
      <w:r w:rsidR="006931CC" w:rsidRPr="00374601">
        <w:rPr>
          <w:rFonts w:ascii="Times New Roman" w:hAnsi="Times New Roman" w:cs="Times New Roman"/>
          <w:sz w:val="24"/>
          <w:szCs w:val="24"/>
        </w:rPr>
        <w:t>планирати на основу шестомесечног извршења у 2016.години и очекиваног нивоа извршења ових расхода до краја године, увећано за пројектовану инфлацију за 201</w:t>
      </w:r>
      <w:r w:rsidR="004406B6">
        <w:rPr>
          <w:rFonts w:ascii="Times New Roman" w:hAnsi="Times New Roman" w:cs="Times New Roman"/>
          <w:sz w:val="24"/>
          <w:szCs w:val="24"/>
        </w:rPr>
        <w:t>8</w:t>
      </w:r>
      <w:r w:rsidR="006931CC" w:rsidRPr="00374601">
        <w:rPr>
          <w:rFonts w:ascii="Times New Roman" w:hAnsi="Times New Roman" w:cs="Times New Roman"/>
          <w:sz w:val="24"/>
          <w:szCs w:val="24"/>
        </w:rPr>
        <w:t>. годину.</w:t>
      </w:r>
    </w:p>
    <w:p w:rsidR="006931CC" w:rsidRDefault="006931CC" w:rsidP="006931CC">
      <w:pPr>
        <w:autoSpaceDE w:val="0"/>
        <w:autoSpaceDN w:val="0"/>
        <w:adjustRightInd w:val="0"/>
        <w:ind w:firstLine="708"/>
        <w:jc w:val="both"/>
        <w:rPr>
          <w:rFonts w:ascii="Times New Roman" w:hAnsi="Times New Roman" w:cs="Times New Roman"/>
          <w:sz w:val="24"/>
          <w:szCs w:val="24"/>
        </w:rPr>
      </w:pPr>
      <w:r w:rsidRPr="00374601">
        <w:rPr>
          <w:rFonts w:ascii="Times New Roman" w:hAnsi="Times New Roman" w:cs="Times New Roman"/>
          <w:sz w:val="24"/>
          <w:szCs w:val="24"/>
        </w:rPr>
        <w:t xml:space="preserve"> Средства за </w:t>
      </w:r>
      <w:r w:rsidRPr="00374601">
        <w:rPr>
          <w:rFonts w:ascii="Times New Roman" w:hAnsi="Times New Roman" w:cs="Times New Roman"/>
          <w:bCs/>
          <w:sz w:val="24"/>
          <w:szCs w:val="24"/>
        </w:rPr>
        <w:t xml:space="preserve">текуће одржавање опреме и објеката </w:t>
      </w:r>
      <w:r w:rsidRPr="00374601">
        <w:rPr>
          <w:rFonts w:ascii="Times New Roman" w:hAnsi="Times New Roman" w:cs="Times New Roman"/>
          <w:sz w:val="24"/>
          <w:szCs w:val="24"/>
        </w:rPr>
        <w:t>(425-Текуће поправке и одржавање) планирају се по приоритетима.</w:t>
      </w:r>
    </w:p>
    <w:p w:rsidR="00FB48DF" w:rsidRDefault="004406B6" w:rsidP="00FB48DF">
      <w:pPr>
        <w:autoSpaceDE w:val="0"/>
        <w:autoSpaceDN w:val="0"/>
        <w:adjustRightInd w:val="0"/>
        <w:ind w:firstLine="708"/>
        <w:jc w:val="both"/>
        <w:rPr>
          <w:rFonts w:ascii="Times New Roman" w:hAnsi="Times New Roman" w:cs="Times New Roman"/>
          <w:sz w:val="24"/>
          <w:szCs w:val="24"/>
        </w:rPr>
      </w:pPr>
      <w:r>
        <w:rPr>
          <w:rFonts w:ascii="Times New Roman" w:hAnsi="Times New Roman" w:cs="Times New Roman"/>
          <w:sz w:val="24"/>
          <w:szCs w:val="24"/>
        </w:rPr>
        <w:t>У оквиру субвенција  неопходно је преиспитати све програме по основу којих се додељују субвенције, и планирати рационално средства за субвенције поштујући све прописе који регулишу област субвенција</w:t>
      </w:r>
      <w:r w:rsidR="00FB48DF">
        <w:rPr>
          <w:rFonts w:ascii="Times New Roman" w:hAnsi="Times New Roman" w:cs="Times New Roman"/>
          <w:sz w:val="24"/>
          <w:szCs w:val="24"/>
        </w:rPr>
        <w:t>.</w:t>
      </w:r>
    </w:p>
    <w:p w:rsidR="00A162A7" w:rsidRDefault="006931CC" w:rsidP="00FB48DF">
      <w:pPr>
        <w:autoSpaceDE w:val="0"/>
        <w:autoSpaceDN w:val="0"/>
        <w:adjustRightInd w:val="0"/>
        <w:ind w:firstLine="708"/>
        <w:jc w:val="both"/>
        <w:rPr>
          <w:rFonts w:ascii="Times New Roman" w:hAnsi="Times New Roman" w:cs="Times New Roman"/>
          <w:sz w:val="24"/>
          <w:szCs w:val="24"/>
        </w:rPr>
      </w:pPr>
      <w:r w:rsidRPr="00374601">
        <w:rPr>
          <w:rFonts w:ascii="Times New Roman" w:hAnsi="Times New Roman" w:cs="Times New Roman"/>
          <w:bCs/>
          <w:sz w:val="24"/>
          <w:szCs w:val="24"/>
        </w:rPr>
        <w:t xml:space="preserve">Остали расходи </w:t>
      </w:r>
      <w:r w:rsidRPr="00374601">
        <w:rPr>
          <w:rFonts w:ascii="Times New Roman" w:hAnsi="Times New Roman" w:cs="Times New Roman"/>
          <w:sz w:val="24"/>
          <w:szCs w:val="24"/>
        </w:rPr>
        <w:t xml:space="preserve">(група конта </w:t>
      </w:r>
      <w:r w:rsidRPr="00374601">
        <w:rPr>
          <w:rFonts w:ascii="Times New Roman" w:hAnsi="Times New Roman" w:cs="Times New Roman"/>
          <w:b/>
          <w:sz w:val="24"/>
          <w:szCs w:val="24"/>
        </w:rPr>
        <w:t>48</w:t>
      </w:r>
      <w:r w:rsidRPr="00374601">
        <w:rPr>
          <w:rFonts w:ascii="Times New Roman" w:hAnsi="Times New Roman" w:cs="Times New Roman"/>
          <w:sz w:val="24"/>
          <w:szCs w:val="24"/>
        </w:rPr>
        <w:t>) планирају се највише до износа који је опредељен буџетом за 201</w:t>
      </w:r>
      <w:r w:rsidR="004406B6">
        <w:rPr>
          <w:rFonts w:ascii="Times New Roman" w:hAnsi="Times New Roman" w:cs="Times New Roman"/>
          <w:sz w:val="24"/>
          <w:szCs w:val="24"/>
        </w:rPr>
        <w:t>7</w:t>
      </w:r>
      <w:r w:rsidR="007D0190">
        <w:rPr>
          <w:rFonts w:ascii="Times New Roman" w:hAnsi="Times New Roman" w:cs="Times New Roman"/>
          <w:sz w:val="24"/>
          <w:szCs w:val="24"/>
        </w:rPr>
        <w:t>. г</w:t>
      </w:r>
      <w:r w:rsidRPr="00374601">
        <w:rPr>
          <w:rFonts w:ascii="Times New Roman" w:hAnsi="Times New Roman" w:cs="Times New Roman"/>
          <w:sz w:val="24"/>
          <w:szCs w:val="24"/>
        </w:rPr>
        <w:t>одину</w:t>
      </w:r>
    </w:p>
    <w:p w:rsidR="00A162A7" w:rsidRPr="00374601" w:rsidRDefault="00A162A7" w:rsidP="00A162A7">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lastRenderedPageBreak/>
        <w:t xml:space="preserve">Планирање издатака капиталног пројекта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Ради ефикаснијег планирања и припреме, поступајући у складу са законским одредбама, корисници буџетских средстава дужни су да органу надлежном за послове финансија доставе планиране капиталне пројекте за буџетску и наредне две године, приказане у табели (Табеле</w:t>
      </w:r>
      <w:r w:rsidR="001054F6" w:rsidRPr="00374601">
        <w:rPr>
          <w:rFonts w:ascii="Times New Roman" w:hAnsi="Times New Roman" w:cs="Times New Roman"/>
          <w:sz w:val="24"/>
          <w:szCs w:val="24"/>
        </w:rPr>
        <w:t xml:space="preserve"> -</w:t>
      </w:r>
      <w:r w:rsidRPr="00374601">
        <w:rPr>
          <w:rFonts w:ascii="Times New Roman" w:hAnsi="Times New Roman" w:cs="Times New Roman"/>
          <w:sz w:val="24"/>
          <w:szCs w:val="24"/>
        </w:rPr>
        <w:t xml:space="preserve"> Преглед капиталних пројеката даје се у Прилогу). У наведеним табелама, корисници су у обавези да искажу планиране издатке за капиталне пројекте по годинама који се односе на изградњу и капитално одржавање, по контима на трећем и четвртом нивоу, и то: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1) издатке за израду пројектно-техничке документације на конту 5114 (осим уколико је иста већ израђена);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2) издатке за експропријацију земљишта на конту 5411; </w:t>
      </w:r>
    </w:p>
    <w:p w:rsidR="00A162A7" w:rsidRPr="00374601" w:rsidRDefault="00A162A7" w:rsidP="00953362">
      <w:pPr>
        <w:autoSpaceDE w:val="0"/>
        <w:autoSpaceDN w:val="0"/>
        <w:adjustRightInd w:val="0"/>
        <w:spacing w:after="50"/>
        <w:jc w:val="both"/>
        <w:rPr>
          <w:rFonts w:ascii="Times New Roman" w:hAnsi="Times New Roman" w:cs="Times New Roman"/>
          <w:sz w:val="24"/>
          <w:szCs w:val="24"/>
        </w:rPr>
      </w:pPr>
      <w:r w:rsidRPr="00374601">
        <w:rPr>
          <w:rFonts w:ascii="Times New Roman" w:hAnsi="Times New Roman" w:cs="Times New Roman"/>
          <w:sz w:val="24"/>
          <w:szCs w:val="24"/>
        </w:rPr>
        <w:t xml:space="preserve">3) издатке за извођење радова на изградњи, односно извођење радова на капиталном одржавању на контима 5112 и 5113; </w:t>
      </w:r>
    </w:p>
    <w:p w:rsidR="00A162A7" w:rsidRPr="00374601" w:rsidRDefault="00A162A7" w:rsidP="00953362">
      <w:pPr>
        <w:autoSpaceDE w:val="0"/>
        <w:autoSpaceDN w:val="0"/>
        <w:adjustRightInd w:val="0"/>
        <w:jc w:val="both"/>
        <w:rPr>
          <w:rFonts w:ascii="Times New Roman" w:hAnsi="Times New Roman" w:cs="Times New Roman"/>
          <w:sz w:val="24"/>
          <w:szCs w:val="24"/>
        </w:rPr>
      </w:pPr>
      <w:r w:rsidRPr="00374601">
        <w:rPr>
          <w:rFonts w:ascii="Times New Roman" w:hAnsi="Times New Roman" w:cs="Times New Roman"/>
          <w:sz w:val="24"/>
          <w:szCs w:val="24"/>
        </w:rPr>
        <w:t xml:space="preserve">4) издатке за ангажовање стручног надзора на конту 5114 (осим уколико исти нису планирани од стране инвеститора или на неки други начин). </w:t>
      </w: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У циљу реалног планирања издатака капиталног пројекта, неопходно је да корисници образложе тренутни статус дозвола и сагласност (локацијска, грађевинска дозвола, сагласности одговарајућих јавних предузећа) које су неопходне за почетак извођења радова. Корисници су дужни да планирају  расходе, који су у вези са добијањем ових дозвола и сагласности, на одговарајућим контима. </w:t>
      </w:r>
    </w:p>
    <w:p w:rsidR="00A162A7"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sz w:val="24"/>
          <w:szCs w:val="24"/>
        </w:rPr>
        <w:t xml:space="preserve">Такође, на основу свеобухватне процене потреба, пројекте је потребно рангирати по приоритетима, у складу са усвојеним стратешким документима, водећи рачуна да приоритет у финансирању имају већ започети пројекти. </w:t>
      </w:r>
    </w:p>
    <w:p w:rsidR="00936BDF" w:rsidRDefault="00936BDF" w:rsidP="00953362">
      <w:pPr>
        <w:autoSpaceDE w:val="0"/>
        <w:autoSpaceDN w:val="0"/>
        <w:adjustRightInd w:val="0"/>
        <w:ind w:firstLine="720"/>
        <w:jc w:val="both"/>
        <w:rPr>
          <w:rFonts w:ascii="Times New Roman" w:hAnsi="Times New Roman" w:cs="Times New Roman"/>
          <w:b/>
          <w:sz w:val="24"/>
          <w:szCs w:val="24"/>
        </w:rPr>
      </w:pPr>
      <w:r w:rsidRPr="00936BDF">
        <w:rPr>
          <w:rFonts w:ascii="Times New Roman" w:hAnsi="Times New Roman" w:cs="Times New Roman"/>
          <w:b/>
          <w:sz w:val="24"/>
          <w:szCs w:val="24"/>
        </w:rPr>
        <w:t>Напомена: Уколико наведени капитални пројекти не буду имали образложење тренутног статуса пројекта, не могу бити укључени у буџет.</w:t>
      </w:r>
    </w:p>
    <w:p w:rsidR="00B4067A" w:rsidRDefault="00B4067A" w:rsidP="00953362">
      <w:pPr>
        <w:autoSpaceDE w:val="0"/>
        <w:autoSpaceDN w:val="0"/>
        <w:adjustRightInd w:val="0"/>
        <w:ind w:firstLine="720"/>
        <w:jc w:val="both"/>
        <w:rPr>
          <w:rFonts w:ascii="Times New Roman" w:hAnsi="Times New Roman" w:cs="Times New Roman"/>
          <w:b/>
          <w:sz w:val="24"/>
          <w:szCs w:val="24"/>
        </w:rPr>
      </w:pPr>
    </w:p>
    <w:p w:rsidR="00FB48DF" w:rsidRDefault="00FB48DF" w:rsidP="006E3DF8">
      <w:pPr>
        <w:autoSpaceDE w:val="0"/>
        <w:autoSpaceDN w:val="0"/>
        <w:adjustRightInd w:val="0"/>
        <w:jc w:val="center"/>
        <w:rPr>
          <w:rFonts w:ascii="TimesNewRomanPSMT" w:hAnsi="TimesNewRomanPSMT" w:cs="TimesNewRomanPSMT"/>
          <w:sz w:val="24"/>
          <w:szCs w:val="24"/>
        </w:rPr>
      </w:pPr>
    </w:p>
    <w:p w:rsidR="006E3DF8" w:rsidRDefault="006E3DF8" w:rsidP="006E3DF8">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ОБРАЗАЦ ЗА ПОЛУГОДИШЊИ ИЗВЕШТАЈ О УЧИНКУ ПРОГРАМА,</w:t>
      </w:r>
    </w:p>
    <w:p w:rsidR="00936BDF" w:rsidRDefault="006E3DF8" w:rsidP="006E3DF8">
      <w:pPr>
        <w:tabs>
          <w:tab w:val="center" w:pos="4896"/>
        </w:tabs>
        <w:autoSpaceDE w:val="0"/>
        <w:autoSpaceDN w:val="0"/>
        <w:adjustRightInd w:val="0"/>
        <w:ind w:firstLine="720"/>
        <w:rPr>
          <w:rFonts w:ascii="TimesNewRomanPSMT" w:hAnsi="TimesNewRomanPSMT" w:cs="TimesNewRomanPSMT"/>
          <w:sz w:val="24"/>
          <w:szCs w:val="24"/>
        </w:rPr>
      </w:pPr>
      <w:r>
        <w:rPr>
          <w:rFonts w:ascii="TimesNewRomanPSMT" w:hAnsi="TimesNewRomanPSMT" w:cs="TimesNewRomanPSMT"/>
          <w:sz w:val="24"/>
          <w:szCs w:val="24"/>
        </w:rPr>
        <w:t xml:space="preserve">      ПРОГРАМСКЕ АКТИВНОСИ И ПРОЈЕКАТА ЗА 2017. ГОДИНУ</w:t>
      </w:r>
    </w:p>
    <w:p w:rsidR="006E3DF8" w:rsidRDefault="006E3DF8" w:rsidP="006E3DF8">
      <w:pPr>
        <w:tabs>
          <w:tab w:val="center" w:pos="4896"/>
        </w:tabs>
        <w:autoSpaceDE w:val="0"/>
        <w:autoSpaceDN w:val="0"/>
        <w:adjustRightInd w:val="0"/>
        <w:ind w:firstLine="720"/>
        <w:rPr>
          <w:rFonts w:ascii="TimesNewRomanPSMT" w:hAnsi="TimesNewRomanPSMT" w:cs="TimesNewRomanPSMT"/>
          <w:sz w:val="24"/>
          <w:szCs w:val="24"/>
        </w:rPr>
      </w:pPr>
    </w:p>
    <w:p w:rsidR="006E3DF8" w:rsidRDefault="006E3DF8" w:rsidP="006E3DF8">
      <w:pPr>
        <w:autoSpaceDE w:val="0"/>
        <w:autoSpaceDN w:val="0"/>
        <w:adjustRightInd w:val="0"/>
        <w:jc w:val="both"/>
        <w:rPr>
          <w:rFonts w:ascii="TimesNewRomanPS-BoldMT" w:hAnsi="TimesNewRomanPS-BoldMT" w:cs="TimesNewRomanPS-BoldMT"/>
          <w:b/>
          <w:bCs/>
          <w:sz w:val="24"/>
          <w:szCs w:val="24"/>
        </w:rPr>
      </w:pPr>
      <w:r>
        <w:rPr>
          <w:rFonts w:ascii="TimesNewRomanPSMT" w:hAnsi="TimesNewRomanPSMT" w:cs="TimesNewRomanPSMT"/>
          <w:sz w:val="24"/>
          <w:szCs w:val="24"/>
        </w:rPr>
        <w:t xml:space="preserve">           Корисници буџета локалне власти су у обавези да достављају локалном органу управе  надлежном за финансије извештаје о учинку програмске активности и пројеката (полугодишњи и годишњи) на прописаном обрасцу који је саставни део овог упутства. </w:t>
      </w:r>
      <w:r>
        <w:rPr>
          <w:rFonts w:ascii="TimesNewRomanPS-BoldMT" w:hAnsi="TimesNewRomanPS-BoldMT" w:cs="TimesNewRomanPS-BoldMT"/>
          <w:b/>
          <w:bCs/>
          <w:sz w:val="24"/>
          <w:szCs w:val="24"/>
        </w:rPr>
        <w:t>Полугодишњи извештај за 2017. годину о учинку програмске активности и пројеката је обавезан елемент предлога финансијског плана буџетских корисника за 2018. годину.</w:t>
      </w:r>
    </w:p>
    <w:p w:rsidR="006E3DF8" w:rsidRDefault="006E3DF8" w:rsidP="006E3DF8">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         На основу информација које је стекао током спровођења програмске активности или  пројеката, корисник буџета израђује нацрт образложења спровођења програмске активности  или пројеката. При томе, врши анализу напретка у остварењу циљева и степена извршења буџета током извештајног периода. У образложењу се истичу:</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најзначајнија достигнућа,</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најзначајнија одступања од плана реализације или констатација да се реализација врши према плану,</w:t>
      </w:r>
    </w:p>
    <w:p w:rsidR="006E3DF8" w:rsidRPr="006E3DF8" w:rsidRDefault="006E3DF8" w:rsidP="006E3DF8">
      <w:pPr>
        <w:pStyle w:val="ListParagraph"/>
        <w:numPr>
          <w:ilvl w:val="0"/>
          <w:numId w:val="12"/>
        </w:numPr>
        <w:autoSpaceDE w:val="0"/>
        <w:autoSpaceDN w:val="0"/>
        <w:adjustRightInd w:val="0"/>
        <w:rPr>
          <w:rFonts w:ascii="TimesNewRomanPSMT" w:hAnsi="TimesNewRomanPSMT" w:cs="TimesNewRomanPSMT"/>
          <w:sz w:val="24"/>
          <w:szCs w:val="24"/>
        </w:rPr>
      </w:pPr>
      <w:r w:rsidRPr="006E3DF8">
        <w:rPr>
          <w:rFonts w:ascii="TimesNewRomanPSMT" w:hAnsi="TimesNewRomanPSMT" w:cs="TimesNewRomanPSMT"/>
          <w:sz w:val="24"/>
          <w:szCs w:val="24"/>
        </w:rPr>
        <w:t>могући проблеми у даљем спровођењу плана, као и предлози за њихово решавање,</w:t>
      </w:r>
    </w:p>
    <w:p w:rsidR="006E3DF8" w:rsidRPr="006E3DF8" w:rsidRDefault="006E3DF8" w:rsidP="006E3DF8">
      <w:pPr>
        <w:pStyle w:val="ListParagraph"/>
        <w:numPr>
          <w:ilvl w:val="0"/>
          <w:numId w:val="12"/>
        </w:numPr>
        <w:autoSpaceDE w:val="0"/>
        <w:autoSpaceDN w:val="0"/>
        <w:adjustRightInd w:val="0"/>
        <w:rPr>
          <w:rFonts w:ascii="TimesNewRomanPSMT" w:eastAsia="Wingdings-Regular" w:hAnsi="TimesNewRomanPSMT" w:cs="TimesNewRomanPSMT"/>
          <w:sz w:val="24"/>
          <w:szCs w:val="24"/>
        </w:rPr>
      </w:pPr>
      <w:r w:rsidRPr="006E3DF8">
        <w:rPr>
          <w:rFonts w:ascii="TimesNewRomanPSMT" w:eastAsia="Wingdings-Regular" w:hAnsi="TimesNewRomanPSMT" w:cs="TimesNewRomanPSMT"/>
          <w:sz w:val="24"/>
          <w:szCs w:val="24"/>
        </w:rPr>
        <w:t>утицај који резултат спровођења програмске активности или пројекта у извештајном периоду може имати на учинке и средства планирана за наредни извештајни период (шестомесечни или годишњи),</w:t>
      </w:r>
    </w:p>
    <w:p w:rsidR="006E3DF8" w:rsidRPr="006E3DF8" w:rsidRDefault="006E3DF8" w:rsidP="006E3DF8">
      <w:pPr>
        <w:pStyle w:val="ListParagraph"/>
        <w:numPr>
          <w:ilvl w:val="0"/>
          <w:numId w:val="12"/>
        </w:numPr>
        <w:autoSpaceDE w:val="0"/>
        <w:autoSpaceDN w:val="0"/>
        <w:adjustRightInd w:val="0"/>
        <w:rPr>
          <w:rFonts w:ascii="Times New Roman" w:eastAsia="Wingdings-Regular" w:hAnsi="Times New Roman" w:cs="Times New Roman"/>
          <w:sz w:val="24"/>
          <w:szCs w:val="24"/>
        </w:rPr>
      </w:pPr>
      <w:r w:rsidRPr="006E3DF8">
        <w:rPr>
          <w:rFonts w:ascii="TimesNewRomanPSMT" w:eastAsia="Wingdings-Regular" w:hAnsi="TimesNewRomanPSMT" w:cs="TimesNewRomanPSMT"/>
          <w:sz w:val="24"/>
          <w:szCs w:val="24"/>
        </w:rPr>
        <w:t>додатни релевантни подаци који се не прате кроз показатеље учинка</w:t>
      </w:r>
      <w:r w:rsidRPr="006E3DF8">
        <w:rPr>
          <w:rFonts w:ascii="Times New Roman" w:eastAsia="Wingdings-Regular" w:hAnsi="Times New Roman" w:cs="Times New Roman"/>
          <w:sz w:val="24"/>
          <w:szCs w:val="24"/>
        </w:rPr>
        <w:t>.</w:t>
      </w:r>
    </w:p>
    <w:p w:rsidR="00922FBF" w:rsidRDefault="00922FBF" w:rsidP="006E3DF8">
      <w:pPr>
        <w:autoSpaceDE w:val="0"/>
        <w:autoSpaceDN w:val="0"/>
        <w:adjustRightInd w:val="0"/>
        <w:rPr>
          <w:rFonts w:ascii="TimesNewRomanPSMT" w:eastAsia="Wingdings-Regular" w:hAnsi="TimesNewRomanPSMT" w:cs="TimesNewRomanPSMT"/>
          <w:sz w:val="24"/>
          <w:szCs w:val="24"/>
        </w:rPr>
      </w:pPr>
    </w:p>
    <w:p w:rsidR="006E3DF8" w:rsidRPr="008A1FFC" w:rsidRDefault="008A1FFC" w:rsidP="006E3DF8">
      <w:pPr>
        <w:autoSpaceDE w:val="0"/>
        <w:autoSpaceDN w:val="0"/>
        <w:adjustRightInd w:val="0"/>
        <w:rPr>
          <w:rFonts w:ascii="TimesNewRomanPSMT" w:eastAsia="Wingdings-Regular" w:hAnsi="TimesNewRomanPSMT" w:cs="TimesNewRomanPSMT"/>
          <w:b/>
          <w:i/>
          <w:sz w:val="24"/>
          <w:szCs w:val="24"/>
        </w:rPr>
      </w:pPr>
      <w:r w:rsidRPr="008A1FFC">
        <w:rPr>
          <w:rFonts w:ascii="TimesNewRomanPSMT" w:eastAsia="Wingdings-Regular" w:hAnsi="TimesNewRomanPSMT" w:cs="TimesNewRomanPSMT"/>
          <w:b/>
          <w:i/>
          <w:sz w:val="24"/>
          <w:szCs w:val="24"/>
        </w:rPr>
        <w:lastRenderedPageBreak/>
        <w:t>Достављање финансијских планова</w:t>
      </w:r>
    </w:p>
    <w:p w:rsidR="006E3DF8" w:rsidRPr="008A1FFC" w:rsidRDefault="008A1FFC" w:rsidP="008A1FFC">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6E3DF8">
        <w:rPr>
          <w:rFonts w:ascii="TimesNewRomanPSMT" w:hAnsi="TimesNewRomanPSMT" w:cs="TimesNewRomanPSMT"/>
          <w:sz w:val="24"/>
          <w:szCs w:val="24"/>
        </w:rPr>
        <w:t>На основу ових пројекција потребно је почети са израдом предлога финансијског плана за 201</w:t>
      </w:r>
      <w:r w:rsidR="006E3DF8">
        <w:rPr>
          <w:rFonts w:ascii="Times New Roman" w:hAnsi="Times New Roman" w:cs="Times New Roman"/>
          <w:sz w:val="24"/>
          <w:szCs w:val="24"/>
        </w:rPr>
        <w:t>8</w:t>
      </w:r>
      <w:r w:rsidR="006E3DF8">
        <w:rPr>
          <w:rFonts w:ascii="TimesNewRomanPSMT" w:hAnsi="TimesNewRomanPSMT" w:cs="TimesNewRomanPSMT"/>
          <w:sz w:val="24"/>
          <w:szCs w:val="24"/>
        </w:rPr>
        <w:t xml:space="preserve">. годину и наредне две фискалне године.  </w:t>
      </w:r>
      <w:r>
        <w:rPr>
          <w:rFonts w:ascii="TimesNewRomanPSMT" w:hAnsi="TimesNewRomanPSMT" w:cs="TimesNewRomanPSMT"/>
          <w:sz w:val="24"/>
          <w:szCs w:val="24"/>
        </w:rPr>
        <w:t>Буџетски корисник доставља предлог финансијског плана расхода за 201</w:t>
      </w:r>
      <w:r>
        <w:rPr>
          <w:rFonts w:ascii="Times New Roman" w:hAnsi="Times New Roman" w:cs="Times New Roman"/>
          <w:sz w:val="24"/>
          <w:szCs w:val="24"/>
        </w:rPr>
        <w:t>8</w:t>
      </w:r>
      <w:r>
        <w:rPr>
          <w:rFonts w:ascii="TimesNewRomanPSMT" w:hAnsi="TimesNewRomanPSMT" w:cs="TimesNewRomanPSMT"/>
          <w:sz w:val="24"/>
          <w:szCs w:val="24"/>
        </w:rPr>
        <w:t xml:space="preserve">. годину у форми која подразумева </w:t>
      </w:r>
      <w:r>
        <w:rPr>
          <w:rFonts w:ascii="TimesNewRomanPS-BoldMT" w:hAnsi="TimesNewRomanPS-BoldMT" w:cs="TimesNewRomanPS-BoldMT"/>
          <w:b/>
          <w:bCs/>
          <w:sz w:val="24"/>
          <w:szCs w:val="24"/>
        </w:rPr>
        <w:t xml:space="preserve">насловну  страну са називом и адресом буџетског корисника и податке достављене у прописаним </w:t>
      </w:r>
      <w:r w:rsidRPr="008A1FFC">
        <w:rPr>
          <w:rFonts w:ascii="TimesNewRomanPS-BoldMT" w:hAnsi="TimesNewRomanPS-BoldMT" w:cs="TimesNewRomanPS-BoldMT"/>
          <w:b/>
          <w:bCs/>
          <w:sz w:val="24"/>
          <w:szCs w:val="24"/>
        </w:rPr>
        <w:t>табелама</w:t>
      </w:r>
      <w:r w:rsidRPr="008A1FFC">
        <w:rPr>
          <w:rFonts w:ascii="Times New Roman" w:hAnsi="Times New Roman" w:cs="Times New Roman"/>
          <w:b/>
          <w:sz w:val="24"/>
          <w:szCs w:val="24"/>
        </w:rPr>
        <w:t xml:space="preserve"> и образложење.</w:t>
      </w:r>
    </w:p>
    <w:p w:rsidR="00E557BB" w:rsidRPr="00374601" w:rsidRDefault="00E557BB" w:rsidP="00953362">
      <w:pPr>
        <w:autoSpaceDE w:val="0"/>
        <w:autoSpaceDN w:val="0"/>
        <w:adjustRightInd w:val="0"/>
        <w:ind w:firstLine="720"/>
        <w:jc w:val="both"/>
        <w:rPr>
          <w:rFonts w:ascii="Times New Roman" w:hAnsi="Times New Roman" w:cs="Times New Roman"/>
          <w:sz w:val="24"/>
          <w:szCs w:val="24"/>
        </w:rPr>
      </w:pPr>
    </w:p>
    <w:p w:rsidR="00A162A7" w:rsidRPr="00374601" w:rsidRDefault="00922FBF" w:rsidP="003746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D85A5F">
        <w:rPr>
          <w:rFonts w:ascii="Times New Roman" w:hAnsi="Times New Roman" w:cs="Times New Roman"/>
          <w:sz w:val="24"/>
          <w:szCs w:val="24"/>
        </w:rPr>
        <w:t>Предлог финансијског плана</w:t>
      </w:r>
      <w:r w:rsidR="006E3DF8">
        <w:rPr>
          <w:rFonts w:ascii="Times New Roman" w:hAnsi="Times New Roman" w:cs="Times New Roman"/>
          <w:sz w:val="24"/>
          <w:szCs w:val="24"/>
        </w:rPr>
        <w:t xml:space="preserve"> </w:t>
      </w:r>
      <w:r w:rsidR="00D85A5F">
        <w:rPr>
          <w:rFonts w:ascii="Times New Roman" w:hAnsi="Times New Roman" w:cs="Times New Roman"/>
          <w:sz w:val="24"/>
          <w:szCs w:val="24"/>
        </w:rPr>
        <w:t>доставити</w:t>
      </w:r>
      <w:r w:rsidR="00A162A7" w:rsidRPr="00374601">
        <w:rPr>
          <w:rFonts w:ascii="Times New Roman" w:hAnsi="Times New Roman" w:cs="Times New Roman"/>
          <w:sz w:val="24"/>
          <w:szCs w:val="24"/>
        </w:rPr>
        <w:t xml:space="preserve"> у штампаном облику, са печатом и потписом ф</w:t>
      </w:r>
      <w:r w:rsidR="0041016B" w:rsidRPr="00374601">
        <w:rPr>
          <w:rFonts w:ascii="Times New Roman" w:hAnsi="Times New Roman" w:cs="Times New Roman"/>
          <w:sz w:val="24"/>
          <w:szCs w:val="24"/>
        </w:rPr>
        <w:t>ункционера буџетског корисника</w:t>
      </w:r>
      <w:r w:rsidR="006E3DF8">
        <w:rPr>
          <w:rFonts w:ascii="Times New Roman" w:hAnsi="Times New Roman" w:cs="Times New Roman"/>
          <w:sz w:val="24"/>
          <w:szCs w:val="24"/>
        </w:rPr>
        <w:t xml:space="preserve"> , </w:t>
      </w:r>
      <w:r w:rsidR="00EB7D03" w:rsidRPr="00374601">
        <w:rPr>
          <w:rFonts w:ascii="Times New Roman" w:hAnsi="Times New Roman" w:cs="Times New Roman"/>
          <w:sz w:val="24"/>
          <w:szCs w:val="24"/>
        </w:rPr>
        <w:t xml:space="preserve"> и </w:t>
      </w:r>
      <w:r w:rsidR="0041016B" w:rsidRPr="00374601">
        <w:rPr>
          <w:rFonts w:ascii="Times New Roman" w:hAnsi="Times New Roman" w:cs="Times New Roman"/>
          <w:sz w:val="24"/>
          <w:szCs w:val="24"/>
        </w:rPr>
        <w:t xml:space="preserve"> на mail </w:t>
      </w:r>
      <w:r w:rsidR="006E3DF8">
        <w:rPr>
          <w:rFonts w:ascii="Times New Roman" w:hAnsi="Times New Roman" w:cs="Times New Roman"/>
          <w:sz w:val="24"/>
          <w:szCs w:val="24"/>
        </w:rPr>
        <w:t xml:space="preserve">адресу </w:t>
      </w:r>
      <w:r w:rsidR="006931CC" w:rsidRPr="00374601">
        <w:rPr>
          <w:rFonts w:ascii="Times New Roman" w:hAnsi="Times New Roman" w:cs="Times New Roman"/>
          <w:sz w:val="24"/>
          <w:szCs w:val="24"/>
        </w:rPr>
        <w:t>vrakic82</w:t>
      </w:r>
      <w:r w:rsidR="0041016B" w:rsidRPr="00374601">
        <w:rPr>
          <w:rFonts w:ascii="Times New Roman" w:hAnsi="Times New Roman" w:cs="Times New Roman"/>
          <w:sz w:val="24"/>
          <w:szCs w:val="24"/>
        </w:rPr>
        <w:t>@gmail.com.</w:t>
      </w:r>
    </w:p>
    <w:p w:rsidR="00A162A7" w:rsidRPr="00374601" w:rsidRDefault="00A162A7" w:rsidP="00953362">
      <w:pPr>
        <w:autoSpaceDE w:val="0"/>
        <w:autoSpaceDN w:val="0"/>
        <w:adjustRightInd w:val="0"/>
        <w:jc w:val="both"/>
        <w:rPr>
          <w:rFonts w:ascii="Times New Roman" w:hAnsi="Times New Roman" w:cs="Times New Roman"/>
          <w:sz w:val="24"/>
          <w:szCs w:val="24"/>
        </w:rPr>
      </w:pPr>
    </w:p>
    <w:p w:rsidR="00A162A7" w:rsidRPr="00374601" w:rsidRDefault="00922FBF" w:rsidP="00953362">
      <w:pPr>
        <w:autoSpaceDE w:val="0"/>
        <w:autoSpaceDN w:val="0"/>
        <w:adjustRightInd w:val="0"/>
        <w:jc w:val="both"/>
        <w:rPr>
          <w:rFonts w:ascii="Times New Roman" w:hAnsi="Times New Roman" w:cs="Times New Roman"/>
          <w:sz w:val="24"/>
          <w:szCs w:val="24"/>
        </w:rPr>
      </w:pPr>
      <w:r>
        <w:rPr>
          <w:rFonts w:ascii="Times New Roman" w:hAnsi="Times New Roman" w:cs="Times New Roman"/>
          <w:b/>
          <w:bCs/>
          <w:sz w:val="24"/>
          <w:szCs w:val="24"/>
        </w:rPr>
        <w:t xml:space="preserve">             Упутства</w:t>
      </w:r>
      <w:r w:rsidR="00A162A7" w:rsidRPr="00374601">
        <w:rPr>
          <w:rFonts w:ascii="Times New Roman" w:hAnsi="Times New Roman" w:cs="Times New Roman"/>
          <w:b/>
          <w:bCs/>
          <w:sz w:val="24"/>
          <w:szCs w:val="24"/>
        </w:rPr>
        <w:t xml:space="preserve"> и табеле </w:t>
      </w:r>
      <w:r w:rsidR="001054F6" w:rsidRPr="00374601">
        <w:rPr>
          <w:rFonts w:ascii="Times New Roman" w:hAnsi="Times New Roman" w:cs="Times New Roman"/>
          <w:sz w:val="24"/>
          <w:szCs w:val="24"/>
        </w:rPr>
        <w:t xml:space="preserve">можете преузети на адреси  www.ljubovija.rs - </w:t>
      </w:r>
      <w:r w:rsidR="0041016B" w:rsidRPr="00374601">
        <w:rPr>
          <w:rFonts w:ascii="Times New Roman" w:hAnsi="Times New Roman" w:cs="Times New Roman"/>
          <w:sz w:val="24"/>
          <w:szCs w:val="24"/>
        </w:rPr>
        <w:t>Буџет – Обрасци за пр</w:t>
      </w:r>
      <w:r w:rsidR="001054F6" w:rsidRPr="00374601">
        <w:rPr>
          <w:rFonts w:ascii="Times New Roman" w:hAnsi="Times New Roman" w:cs="Times New Roman"/>
          <w:sz w:val="24"/>
          <w:szCs w:val="24"/>
        </w:rPr>
        <w:t>ипрему буџета 201</w:t>
      </w:r>
      <w:r w:rsidR="006E3DF8">
        <w:rPr>
          <w:rFonts w:ascii="Times New Roman" w:hAnsi="Times New Roman" w:cs="Times New Roman"/>
          <w:sz w:val="24"/>
          <w:szCs w:val="24"/>
        </w:rPr>
        <w:t>8</w:t>
      </w:r>
      <w:r w:rsidR="001054F6" w:rsidRPr="00374601">
        <w:rPr>
          <w:rFonts w:ascii="Times New Roman" w:hAnsi="Times New Roman" w:cs="Times New Roman"/>
          <w:sz w:val="24"/>
          <w:szCs w:val="24"/>
        </w:rPr>
        <w:t xml:space="preserve">. </w:t>
      </w:r>
      <w:r w:rsidR="0041016B" w:rsidRPr="00374601">
        <w:rPr>
          <w:rFonts w:ascii="Times New Roman" w:hAnsi="Times New Roman" w:cs="Times New Roman"/>
          <w:sz w:val="24"/>
          <w:szCs w:val="24"/>
        </w:rPr>
        <w:t>г</w:t>
      </w:r>
      <w:r w:rsidR="001054F6" w:rsidRPr="00374601">
        <w:rPr>
          <w:rFonts w:ascii="Times New Roman" w:hAnsi="Times New Roman" w:cs="Times New Roman"/>
          <w:sz w:val="24"/>
          <w:szCs w:val="24"/>
        </w:rPr>
        <w:t>одине.</w:t>
      </w:r>
    </w:p>
    <w:p w:rsidR="001054F6" w:rsidRPr="00374601" w:rsidRDefault="001054F6" w:rsidP="00953362">
      <w:pPr>
        <w:autoSpaceDE w:val="0"/>
        <w:autoSpaceDN w:val="0"/>
        <w:adjustRightInd w:val="0"/>
        <w:jc w:val="both"/>
        <w:rPr>
          <w:rFonts w:ascii="Times New Roman" w:hAnsi="Times New Roman" w:cs="Times New Roman"/>
          <w:sz w:val="24"/>
          <w:szCs w:val="24"/>
        </w:rPr>
      </w:pPr>
    </w:p>
    <w:p w:rsidR="00A162A7" w:rsidRPr="00922FBF" w:rsidRDefault="00922FBF" w:rsidP="00953362">
      <w:pPr>
        <w:autoSpaceDE w:val="0"/>
        <w:autoSpaceDN w:val="0"/>
        <w:adjustRightInd w:val="0"/>
        <w:jc w:val="both"/>
        <w:rPr>
          <w:rFonts w:ascii="Times New Roman" w:hAnsi="Times New Roman" w:cs="Times New Roman"/>
          <w:b/>
          <w:bCs/>
          <w:sz w:val="24"/>
          <w:szCs w:val="24"/>
        </w:rPr>
      </w:pPr>
      <w:r>
        <w:rPr>
          <w:rFonts w:ascii="Times New Roman" w:hAnsi="Times New Roman" w:cs="Times New Roman"/>
          <w:sz w:val="24"/>
          <w:szCs w:val="24"/>
        </w:rPr>
        <w:t xml:space="preserve">              </w:t>
      </w:r>
      <w:r w:rsidR="00A162A7" w:rsidRPr="00374601">
        <w:rPr>
          <w:rFonts w:ascii="Times New Roman" w:hAnsi="Times New Roman" w:cs="Times New Roman"/>
          <w:sz w:val="24"/>
          <w:szCs w:val="24"/>
        </w:rPr>
        <w:t xml:space="preserve">Рок за достављање предлога финансијских планова индиректних корисника је </w:t>
      </w:r>
      <w:r w:rsidRPr="00922FBF">
        <w:rPr>
          <w:rFonts w:ascii="Times New Roman" w:hAnsi="Times New Roman" w:cs="Times New Roman"/>
          <w:b/>
          <w:sz w:val="24"/>
          <w:szCs w:val="24"/>
        </w:rPr>
        <w:t>28</w:t>
      </w:r>
      <w:r w:rsidR="00A162A7" w:rsidRPr="00374601">
        <w:rPr>
          <w:rFonts w:ascii="Times New Roman" w:hAnsi="Times New Roman" w:cs="Times New Roman"/>
          <w:b/>
          <w:bCs/>
          <w:sz w:val="24"/>
          <w:szCs w:val="24"/>
        </w:rPr>
        <w:t xml:space="preserve">. </w:t>
      </w:r>
      <w:r>
        <w:rPr>
          <w:rFonts w:ascii="Times New Roman" w:hAnsi="Times New Roman" w:cs="Times New Roman"/>
          <w:b/>
          <w:bCs/>
          <w:sz w:val="24"/>
          <w:szCs w:val="24"/>
        </w:rPr>
        <w:t xml:space="preserve">август </w:t>
      </w:r>
      <w:r w:rsidR="00A162A7" w:rsidRPr="00374601">
        <w:rPr>
          <w:rFonts w:ascii="Times New Roman" w:hAnsi="Times New Roman" w:cs="Times New Roman"/>
          <w:b/>
          <w:bCs/>
          <w:sz w:val="24"/>
          <w:szCs w:val="24"/>
        </w:rPr>
        <w:t>201</w:t>
      </w:r>
      <w:r w:rsidR="006E3DF8">
        <w:rPr>
          <w:rFonts w:ascii="Times New Roman" w:hAnsi="Times New Roman" w:cs="Times New Roman"/>
          <w:b/>
          <w:bCs/>
          <w:sz w:val="24"/>
          <w:szCs w:val="24"/>
        </w:rPr>
        <w:t>7</w:t>
      </w:r>
      <w:r>
        <w:rPr>
          <w:rFonts w:ascii="Times New Roman" w:hAnsi="Times New Roman" w:cs="Times New Roman"/>
          <w:b/>
          <w:bCs/>
          <w:sz w:val="24"/>
          <w:szCs w:val="24"/>
        </w:rPr>
        <w:t xml:space="preserve">. године и </w:t>
      </w:r>
      <w:r w:rsidRPr="00922FBF">
        <w:rPr>
          <w:rFonts w:ascii="Times New Roman" w:hAnsi="Times New Roman" w:cs="Times New Roman"/>
          <w:b/>
          <w:sz w:val="24"/>
          <w:szCs w:val="24"/>
        </w:rPr>
        <w:t>директних  корисника 01.септембар 2017. године.</w:t>
      </w:r>
    </w:p>
    <w:p w:rsidR="00953362" w:rsidRPr="00374601" w:rsidRDefault="00953362" w:rsidP="00953362">
      <w:pPr>
        <w:autoSpaceDE w:val="0"/>
        <w:autoSpaceDN w:val="0"/>
        <w:adjustRightInd w:val="0"/>
        <w:jc w:val="both"/>
        <w:rPr>
          <w:rFonts w:ascii="Times New Roman" w:hAnsi="Times New Roman" w:cs="Times New Roman"/>
          <w:sz w:val="24"/>
          <w:szCs w:val="24"/>
        </w:rPr>
      </w:pPr>
    </w:p>
    <w:p w:rsidR="00A162A7" w:rsidRPr="00374601" w:rsidRDefault="00A162A7" w:rsidP="00953362">
      <w:pPr>
        <w:autoSpaceDE w:val="0"/>
        <w:autoSpaceDN w:val="0"/>
        <w:adjustRightInd w:val="0"/>
        <w:ind w:firstLine="720"/>
        <w:jc w:val="both"/>
        <w:rPr>
          <w:rFonts w:ascii="Times New Roman" w:hAnsi="Times New Roman" w:cs="Times New Roman"/>
          <w:sz w:val="24"/>
          <w:szCs w:val="24"/>
        </w:rPr>
      </w:pPr>
      <w:r w:rsidRPr="00374601">
        <w:rPr>
          <w:rFonts w:ascii="Times New Roman" w:hAnsi="Times New Roman" w:cs="Times New Roman"/>
          <w:b/>
          <w:bCs/>
          <w:sz w:val="24"/>
          <w:szCs w:val="24"/>
        </w:rPr>
        <w:t xml:space="preserve">НАПОМЕНА: </w:t>
      </w:r>
      <w:r w:rsidRPr="00374601">
        <w:rPr>
          <w:rFonts w:ascii="Times New Roman" w:hAnsi="Times New Roman" w:cs="Times New Roman"/>
          <w:sz w:val="24"/>
          <w:szCs w:val="24"/>
        </w:rPr>
        <w:t>По усвајању Фискалне стратегије за 201</w:t>
      </w:r>
      <w:r w:rsidR="006E3DF8">
        <w:rPr>
          <w:rFonts w:ascii="Times New Roman" w:hAnsi="Times New Roman" w:cs="Times New Roman"/>
          <w:sz w:val="24"/>
          <w:szCs w:val="24"/>
        </w:rPr>
        <w:t>8</w:t>
      </w:r>
      <w:r w:rsidRPr="00374601">
        <w:rPr>
          <w:rFonts w:ascii="Times New Roman" w:hAnsi="Times New Roman" w:cs="Times New Roman"/>
          <w:sz w:val="24"/>
          <w:szCs w:val="24"/>
        </w:rPr>
        <w:t>. годину са пројекцијама за 201</w:t>
      </w:r>
      <w:r w:rsidR="008A1FFC">
        <w:rPr>
          <w:rFonts w:ascii="Times New Roman" w:hAnsi="Times New Roman" w:cs="Times New Roman"/>
          <w:sz w:val="24"/>
          <w:szCs w:val="24"/>
        </w:rPr>
        <w:t>9</w:t>
      </w:r>
      <w:r w:rsidR="006931CC" w:rsidRPr="00374601">
        <w:rPr>
          <w:rFonts w:ascii="Times New Roman" w:hAnsi="Times New Roman" w:cs="Times New Roman"/>
          <w:sz w:val="24"/>
          <w:szCs w:val="24"/>
        </w:rPr>
        <w:t>. и 20</w:t>
      </w:r>
      <w:r w:rsidR="008A1FFC">
        <w:rPr>
          <w:rFonts w:ascii="Times New Roman" w:hAnsi="Times New Roman" w:cs="Times New Roman"/>
          <w:sz w:val="24"/>
          <w:szCs w:val="24"/>
        </w:rPr>
        <w:t>20</w:t>
      </w:r>
      <w:r w:rsidRPr="00374601">
        <w:rPr>
          <w:rFonts w:ascii="Times New Roman" w:hAnsi="Times New Roman" w:cs="Times New Roman"/>
          <w:sz w:val="24"/>
          <w:szCs w:val="24"/>
        </w:rPr>
        <w:t>. годину од стране Владе Републике Србије и доношењу Упутства за припрему одлуке о буџету локалне власти за 201</w:t>
      </w:r>
      <w:r w:rsidR="006E3DF8">
        <w:rPr>
          <w:rFonts w:ascii="Times New Roman" w:hAnsi="Times New Roman" w:cs="Times New Roman"/>
          <w:sz w:val="24"/>
          <w:szCs w:val="24"/>
        </w:rPr>
        <w:t>8</w:t>
      </w:r>
      <w:r w:rsidRPr="00374601">
        <w:rPr>
          <w:rFonts w:ascii="Times New Roman" w:hAnsi="Times New Roman" w:cs="Times New Roman"/>
          <w:sz w:val="24"/>
          <w:szCs w:val="24"/>
        </w:rPr>
        <w:t xml:space="preserve">. годину, који садрже конкретне параметре за утврђивање висине појединих врста расхода, пре свега, плата, као и осталих мера које утичу на јавну потрошњу, сви буџетски корисници биће благовремено обавештени, како би приступили евентуалним изменама и допунама предлога финансијских планова. </w:t>
      </w:r>
    </w:p>
    <w:p w:rsidR="00953362" w:rsidRPr="00374601" w:rsidRDefault="00953362" w:rsidP="00953362">
      <w:pPr>
        <w:autoSpaceDE w:val="0"/>
        <w:autoSpaceDN w:val="0"/>
        <w:adjustRightInd w:val="0"/>
        <w:ind w:firstLine="720"/>
        <w:jc w:val="both"/>
        <w:rPr>
          <w:rFonts w:ascii="Times New Roman" w:hAnsi="Times New Roman" w:cs="Times New Roman"/>
          <w:sz w:val="24"/>
          <w:szCs w:val="24"/>
        </w:rPr>
      </w:pPr>
    </w:p>
    <w:p w:rsidR="00953362" w:rsidRPr="00374601" w:rsidRDefault="00953362" w:rsidP="00A162A7">
      <w:pPr>
        <w:autoSpaceDE w:val="0"/>
        <w:autoSpaceDN w:val="0"/>
        <w:adjustRightInd w:val="0"/>
        <w:ind w:firstLine="720"/>
        <w:jc w:val="both"/>
        <w:rPr>
          <w:rFonts w:ascii="Times New Roman" w:hAnsi="Times New Roman" w:cs="Times New Roman"/>
          <w:sz w:val="24"/>
          <w:szCs w:val="24"/>
        </w:rPr>
      </w:pPr>
    </w:p>
    <w:p w:rsidR="00A162A7" w:rsidRPr="00374601" w:rsidRDefault="00A162A7" w:rsidP="00A162A7">
      <w:pPr>
        <w:autoSpaceDE w:val="0"/>
        <w:autoSpaceDN w:val="0"/>
        <w:adjustRightInd w:val="0"/>
        <w:ind w:left="5040"/>
        <w:jc w:val="center"/>
        <w:rPr>
          <w:rFonts w:ascii="Times New Roman" w:hAnsi="Times New Roman" w:cs="Times New Roman"/>
          <w:sz w:val="24"/>
          <w:szCs w:val="24"/>
        </w:rPr>
      </w:pPr>
      <w:r w:rsidRPr="00374601">
        <w:rPr>
          <w:rFonts w:ascii="Times New Roman" w:hAnsi="Times New Roman" w:cs="Times New Roman"/>
          <w:sz w:val="24"/>
          <w:szCs w:val="24"/>
        </w:rPr>
        <w:t xml:space="preserve">НАЧЕЛНИК </w:t>
      </w:r>
    </w:p>
    <w:p w:rsidR="00953362" w:rsidRPr="00374601" w:rsidRDefault="00A162A7" w:rsidP="00A162A7">
      <w:pPr>
        <w:autoSpaceDE w:val="0"/>
        <w:autoSpaceDN w:val="0"/>
        <w:adjustRightInd w:val="0"/>
        <w:ind w:left="5040"/>
        <w:jc w:val="center"/>
        <w:rPr>
          <w:rFonts w:ascii="Times New Roman" w:hAnsi="Times New Roman" w:cs="Times New Roman"/>
          <w:sz w:val="24"/>
          <w:szCs w:val="24"/>
        </w:rPr>
      </w:pPr>
      <w:r w:rsidRPr="00374601">
        <w:rPr>
          <w:rFonts w:ascii="Times New Roman" w:hAnsi="Times New Roman" w:cs="Times New Roman"/>
          <w:sz w:val="24"/>
          <w:szCs w:val="24"/>
        </w:rPr>
        <w:t xml:space="preserve">ОПШТИНСКЕ УПРАВЕ </w:t>
      </w:r>
    </w:p>
    <w:p w:rsidR="00A162A7" w:rsidRPr="00374601" w:rsidRDefault="006931CC" w:rsidP="006931CC">
      <w:pPr>
        <w:tabs>
          <w:tab w:val="left" w:pos="6255"/>
        </w:tabs>
        <w:jc w:val="center"/>
        <w:rPr>
          <w:rFonts w:ascii="Times New Roman" w:hAnsi="Times New Roman" w:cs="Times New Roman"/>
          <w:sz w:val="24"/>
          <w:szCs w:val="24"/>
        </w:rPr>
      </w:pPr>
      <w:r w:rsidRPr="00374601">
        <w:rPr>
          <w:rFonts w:ascii="Times New Roman" w:hAnsi="Times New Roman" w:cs="Times New Roman"/>
          <w:sz w:val="24"/>
          <w:szCs w:val="24"/>
        </w:rPr>
        <w:t xml:space="preserve">                                                                                          Мирослав Ненадовић</w:t>
      </w:r>
    </w:p>
    <w:sectPr w:rsidR="00A162A7" w:rsidRPr="00374601" w:rsidSect="00FB48DF">
      <w:footerReference w:type="default" r:id="rId8"/>
      <w:pgSz w:w="11906" w:h="16838" w:code="9"/>
      <w:pgMar w:top="1304" w:right="1418" w:bottom="130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7ED" w:rsidRDefault="001C37ED" w:rsidP="00FB5204">
      <w:r>
        <w:separator/>
      </w:r>
    </w:p>
  </w:endnote>
  <w:endnote w:type="continuationSeparator" w:id="1">
    <w:p w:rsidR="001C37ED" w:rsidRDefault="001C37ED" w:rsidP="00FB52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287563"/>
      <w:docPartObj>
        <w:docPartGallery w:val="Page Numbers (Bottom of Page)"/>
        <w:docPartUnique/>
      </w:docPartObj>
    </w:sdtPr>
    <w:sdtEndPr>
      <w:rPr>
        <w:noProof/>
      </w:rPr>
    </w:sdtEndPr>
    <w:sdtContent>
      <w:p w:rsidR="007D0190" w:rsidRDefault="009D78F5">
        <w:pPr>
          <w:pStyle w:val="Footer"/>
          <w:jc w:val="right"/>
        </w:pPr>
        <w:fldSimple w:instr=" PAGE   \* MERGEFORMAT ">
          <w:r w:rsidR="007163E5">
            <w:rPr>
              <w:noProof/>
            </w:rPr>
            <w:t>1</w:t>
          </w:r>
        </w:fldSimple>
      </w:p>
    </w:sdtContent>
  </w:sdt>
  <w:p w:rsidR="007D0190" w:rsidRDefault="007D0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7ED" w:rsidRDefault="001C37ED" w:rsidP="00FB5204">
      <w:r>
        <w:separator/>
      </w:r>
    </w:p>
  </w:footnote>
  <w:footnote w:type="continuationSeparator" w:id="1">
    <w:p w:rsidR="001C37ED" w:rsidRDefault="001C37ED" w:rsidP="00FB52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D9608"/>
    <w:multiLevelType w:val="hybridMultilevel"/>
    <w:tmpl w:val="5D15A2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58F9FA"/>
    <w:multiLevelType w:val="hybridMultilevel"/>
    <w:tmpl w:val="587D88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EB57F2"/>
    <w:multiLevelType w:val="hybridMultilevel"/>
    <w:tmpl w:val="3FECC026"/>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BD927D2"/>
    <w:multiLevelType w:val="hybridMultilevel"/>
    <w:tmpl w:val="C512EF2A"/>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4216472"/>
    <w:multiLevelType w:val="hybridMultilevel"/>
    <w:tmpl w:val="F04067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60E479F"/>
    <w:multiLevelType w:val="hybridMultilevel"/>
    <w:tmpl w:val="38D82AB2"/>
    <w:lvl w:ilvl="0" w:tplc="20F81450">
      <w:numFmt w:val="bullet"/>
      <w:lvlText w:val=""/>
      <w:lvlJc w:val="left"/>
      <w:pPr>
        <w:ind w:left="420" w:hanging="360"/>
      </w:pPr>
      <w:rPr>
        <w:rFonts w:ascii="Symbol" w:eastAsia="Calibr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0CF6911"/>
    <w:multiLevelType w:val="hybridMultilevel"/>
    <w:tmpl w:val="DC52E1B8"/>
    <w:lvl w:ilvl="0" w:tplc="241A000F">
      <w:start w:val="1"/>
      <w:numFmt w:val="decimal"/>
      <w:lvlText w:val="%1."/>
      <w:lvlJc w:val="left"/>
      <w:pPr>
        <w:ind w:left="1140" w:hanging="360"/>
      </w:p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7">
    <w:nsid w:val="2E4E1D6B"/>
    <w:multiLevelType w:val="hybridMultilevel"/>
    <w:tmpl w:val="81B69A50"/>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8">
    <w:nsid w:val="312F0575"/>
    <w:multiLevelType w:val="hybridMultilevel"/>
    <w:tmpl w:val="5852D78C"/>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BAB5B14"/>
    <w:multiLevelType w:val="hybridMultilevel"/>
    <w:tmpl w:val="9BB04CEC"/>
    <w:lvl w:ilvl="0" w:tplc="75440D7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C095B1F"/>
    <w:multiLevelType w:val="hybridMultilevel"/>
    <w:tmpl w:val="E5022E9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nsid w:val="41F51C1C"/>
    <w:multiLevelType w:val="hybridMultilevel"/>
    <w:tmpl w:val="4300B6F6"/>
    <w:lvl w:ilvl="0" w:tplc="20F81450">
      <w:numFmt w:val="bullet"/>
      <w:lvlText w:val=""/>
      <w:lvlJc w:val="left"/>
      <w:pPr>
        <w:ind w:left="1260" w:hanging="360"/>
      </w:pPr>
      <w:rPr>
        <w:rFonts w:ascii="Symbol" w:eastAsia="Calibri" w:hAnsi="Symbol"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2">
    <w:nsid w:val="4EAB8A35"/>
    <w:multiLevelType w:val="hybridMultilevel"/>
    <w:tmpl w:val="E21CDA16"/>
    <w:lvl w:ilvl="0" w:tplc="241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0772E23"/>
    <w:multiLevelType w:val="hybridMultilevel"/>
    <w:tmpl w:val="5BCE5790"/>
    <w:lvl w:ilvl="0" w:tplc="20F81450">
      <w:numFmt w:val="bullet"/>
      <w:lvlText w:val=""/>
      <w:lvlJc w:val="left"/>
      <w:pPr>
        <w:ind w:left="840" w:hanging="360"/>
      </w:pPr>
      <w:rPr>
        <w:rFonts w:ascii="Symbol" w:eastAsia="Calibri"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nsid w:val="536044CC"/>
    <w:multiLevelType w:val="hybridMultilevel"/>
    <w:tmpl w:val="CD723C08"/>
    <w:lvl w:ilvl="0" w:tplc="9A4AB486">
      <w:start w:val="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nsid w:val="6955233F"/>
    <w:multiLevelType w:val="hybridMultilevel"/>
    <w:tmpl w:val="E3B06A32"/>
    <w:lvl w:ilvl="0" w:tplc="20F81450">
      <w:numFmt w:val="bullet"/>
      <w:lvlText w:val=""/>
      <w:lvlJc w:val="left"/>
      <w:pPr>
        <w:ind w:left="900" w:hanging="360"/>
      </w:pPr>
      <w:rPr>
        <w:rFonts w:ascii="Symbol" w:eastAsia="Calibri" w:hAnsi="Symbol"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7B135B04"/>
    <w:multiLevelType w:val="hybridMultilevel"/>
    <w:tmpl w:val="F5021342"/>
    <w:lvl w:ilvl="0" w:tplc="78FCEA32">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num w:numId="1">
    <w:abstractNumId w:val="12"/>
  </w:num>
  <w:num w:numId="2">
    <w:abstractNumId w:val="1"/>
  </w:num>
  <w:num w:numId="3">
    <w:abstractNumId w:val="0"/>
  </w:num>
  <w:num w:numId="4">
    <w:abstractNumId w:val="7"/>
  </w:num>
  <w:num w:numId="5">
    <w:abstractNumId w:val="10"/>
  </w:num>
  <w:num w:numId="6">
    <w:abstractNumId w:val="6"/>
  </w:num>
  <w:num w:numId="7">
    <w:abstractNumId w:val="16"/>
  </w:num>
  <w:num w:numId="8">
    <w:abstractNumId w:val="5"/>
  </w:num>
  <w:num w:numId="9">
    <w:abstractNumId w:val="8"/>
  </w:num>
  <w:num w:numId="10">
    <w:abstractNumId w:val="9"/>
  </w:num>
  <w:num w:numId="11">
    <w:abstractNumId w:val="14"/>
  </w:num>
  <w:num w:numId="12">
    <w:abstractNumId w:val="4"/>
  </w:num>
  <w:num w:numId="13">
    <w:abstractNumId w:val="2"/>
  </w:num>
  <w:num w:numId="14">
    <w:abstractNumId w:val="3"/>
  </w:num>
  <w:num w:numId="15">
    <w:abstractNumId w:val="15"/>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07D87"/>
    <w:rsid w:val="00002172"/>
    <w:rsid w:val="00021475"/>
    <w:rsid w:val="000245EF"/>
    <w:rsid w:val="00026606"/>
    <w:rsid w:val="00054A78"/>
    <w:rsid w:val="00055070"/>
    <w:rsid w:val="000A379F"/>
    <w:rsid w:val="000C6286"/>
    <w:rsid w:val="000D0E71"/>
    <w:rsid w:val="001054F6"/>
    <w:rsid w:val="001607B3"/>
    <w:rsid w:val="00187FF2"/>
    <w:rsid w:val="001C37ED"/>
    <w:rsid w:val="001D707F"/>
    <w:rsid w:val="001E07A7"/>
    <w:rsid w:val="00205B07"/>
    <w:rsid w:val="00221789"/>
    <w:rsid w:val="00223390"/>
    <w:rsid w:val="00242156"/>
    <w:rsid w:val="00246225"/>
    <w:rsid w:val="00274387"/>
    <w:rsid w:val="00284BB3"/>
    <w:rsid w:val="002972FF"/>
    <w:rsid w:val="00297EB6"/>
    <w:rsid w:val="002A58C7"/>
    <w:rsid w:val="002D79CA"/>
    <w:rsid w:val="0032700C"/>
    <w:rsid w:val="00355FF0"/>
    <w:rsid w:val="003626D4"/>
    <w:rsid w:val="003737D4"/>
    <w:rsid w:val="00374601"/>
    <w:rsid w:val="003D507A"/>
    <w:rsid w:val="003D55D1"/>
    <w:rsid w:val="003E3BC4"/>
    <w:rsid w:val="0041016B"/>
    <w:rsid w:val="00415ED6"/>
    <w:rsid w:val="0043101E"/>
    <w:rsid w:val="004406B6"/>
    <w:rsid w:val="00485C2B"/>
    <w:rsid w:val="00487029"/>
    <w:rsid w:val="00495C57"/>
    <w:rsid w:val="00547F8C"/>
    <w:rsid w:val="00572246"/>
    <w:rsid w:val="006008D2"/>
    <w:rsid w:val="00603B00"/>
    <w:rsid w:val="00612090"/>
    <w:rsid w:val="00652573"/>
    <w:rsid w:val="00653F44"/>
    <w:rsid w:val="006931CC"/>
    <w:rsid w:val="006E3DF8"/>
    <w:rsid w:val="007163E5"/>
    <w:rsid w:val="007B0B8B"/>
    <w:rsid w:val="007D0190"/>
    <w:rsid w:val="008717CB"/>
    <w:rsid w:val="00881522"/>
    <w:rsid w:val="008A1FFC"/>
    <w:rsid w:val="008A6C47"/>
    <w:rsid w:val="00922FBF"/>
    <w:rsid w:val="00923688"/>
    <w:rsid w:val="00936BDF"/>
    <w:rsid w:val="00944F0B"/>
    <w:rsid w:val="00953362"/>
    <w:rsid w:val="00953641"/>
    <w:rsid w:val="0095650D"/>
    <w:rsid w:val="009B3DDB"/>
    <w:rsid w:val="009D06D1"/>
    <w:rsid w:val="009D78F5"/>
    <w:rsid w:val="00A13E3C"/>
    <w:rsid w:val="00A162A7"/>
    <w:rsid w:val="00A32929"/>
    <w:rsid w:val="00A33AE4"/>
    <w:rsid w:val="00A41DD9"/>
    <w:rsid w:val="00A46827"/>
    <w:rsid w:val="00A91855"/>
    <w:rsid w:val="00B07D87"/>
    <w:rsid w:val="00B4067A"/>
    <w:rsid w:val="00BB30AB"/>
    <w:rsid w:val="00BD164A"/>
    <w:rsid w:val="00CB4C24"/>
    <w:rsid w:val="00D5349E"/>
    <w:rsid w:val="00D62EB7"/>
    <w:rsid w:val="00D85A5F"/>
    <w:rsid w:val="00D933FB"/>
    <w:rsid w:val="00DB6E8B"/>
    <w:rsid w:val="00DC401E"/>
    <w:rsid w:val="00DC42FA"/>
    <w:rsid w:val="00DC4FFF"/>
    <w:rsid w:val="00E119F6"/>
    <w:rsid w:val="00E4135E"/>
    <w:rsid w:val="00E51800"/>
    <w:rsid w:val="00E557BB"/>
    <w:rsid w:val="00E6261B"/>
    <w:rsid w:val="00E66C75"/>
    <w:rsid w:val="00E91C67"/>
    <w:rsid w:val="00EA69FA"/>
    <w:rsid w:val="00EB7D03"/>
    <w:rsid w:val="00EC4722"/>
    <w:rsid w:val="00F04E91"/>
    <w:rsid w:val="00F248F3"/>
    <w:rsid w:val="00F974F2"/>
    <w:rsid w:val="00FA4399"/>
    <w:rsid w:val="00FA6B43"/>
    <w:rsid w:val="00FB48DF"/>
    <w:rsid w:val="00FB5204"/>
    <w:rsid w:val="00FB7274"/>
    <w:rsid w:val="00FE1E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71"/>
  </w:style>
  <w:style w:type="paragraph" w:styleId="Heading4">
    <w:name w:val="heading 4"/>
    <w:basedOn w:val="Normal"/>
    <w:link w:val="Heading4Char"/>
    <w:uiPriority w:val="9"/>
    <w:qFormat/>
    <w:rsid w:val="006931C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01E"/>
    <w:pPr>
      <w:ind w:left="720"/>
      <w:contextualSpacing/>
    </w:pPr>
  </w:style>
  <w:style w:type="table" w:styleId="TableGrid">
    <w:name w:val="Table Grid"/>
    <w:basedOn w:val="TableNormal"/>
    <w:uiPriority w:val="59"/>
    <w:rsid w:val="00E119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5204"/>
    <w:pPr>
      <w:tabs>
        <w:tab w:val="center" w:pos="4536"/>
        <w:tab w:val="right" w:pos="9072"/>
      </w:tabs>
    </w:pPr>
  </w:style>
  <w:style w:type="character" w:customStyle="1" w:styleId="HeaderChar">
    <w:name w:val="Header Char"/>
    <w:basedOn w:val="DefaultParagraphFont"/>
    <w:link w:val="Header"/>
    <w:uiPriority w:val="99"/>
    <w:rsid w:val="00FB5204"/>
  </w:style>
  <w:style w:type="paragraph" w:styleId="Footer">
    <w:name w:val="footer"/>
    <w:basedOn w:val="Normal"/>
    <w:link w:val="FooterChar"/>
    <w:uiPriority w:val="99"/>
    <w:unhideWhenUsed/>
    <w:rsid w:val="00FB5204"/>
    <w:pPr>
      <w:tabs>
        <w:tab w:val="center" w:pos="4536"/>
        <w:tab w:val="right" w:pos="9072"/>
      </w:tabs>
    </w:pPr>
  </w:style>
  <w:style w:type="character" w:customStyle="1" w:styleId="FooterChar">
    <w:name w:val="Footer Char"/>
    <w:basedOn w:val="DefaultParagraphFont"/>
    <w:link w:val="Footer"/>
    <w:uiPriority w:val="99"/>
    <w:rsid w:val="00FB5204"/>
  </w:style>
  <w:style w:type="paragraph" w:styleId="BalloonText">
    <w:name w:val="Balloon Text"/>
    <w:basedOn w:val="Normal"/>
    <w:link w:val="BalloonTextChar"/>
    <w:uiPriority w:val="99"/>
    <w:semiHidden/>
    <w:unhideWhenUsed/>
    <w:rsid w:val="000266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06"/>
    <w:rPr>
      <w:rFonts w:ascii="Segoe UI" w:hAnsi="Segoe UI" w:cs="Segoe UI"/>
      <w:sz w:val="18"/>
      <w:szCs w:val="18"/>
    </w:rPr>
  </w:style>
  <w:style w:type="character" w:customStyle="1" w:styleId="Heading4Char">
    <w:name w:val="Heading 4 Char"/>
    <w:basedOn w:val="DefaultParagraphFont"/>
    <w:link w:val="Heading4"/>
    <w:uiPriority w:val="9"/>
    <w:rsid w:val="006931CC"/>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0B4C-0756-4209-AC9F-B77C9923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3810</Words>
  <Characters>21722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VESNA_RACUN</cp:lastModifiedBy>
  <cp:revision>46</cp:revision>
  <cp:lastPrinted>2017-07-27T06:33:00Z</cp:lastPrinted>
  <dcterms:created xsi:type="dcterms:W3CDTF">2015-08-09T11:46:00Z</dcterms:created>
  <dcterms:modified xsi:type="dcterms:W3CDTF">2017-07-27T06:34:00Z</dcterms:modified>
</cp:coreProperties>
</file>